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F9" w:rsidRPr="008346F9" w:rsidRDefault="008346F9" w:rsidP="00635559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8346F9">
        <w:rPr>
          <w:rFonts w:asciiTheme="majorHAnsi" w:hAnsiTheme="majorHAnsi"/>
          <w:b/>
          <w:sz w:val="32"/>
          <w:szCs w:val="32"/>
        </w:rPr>
        <w:t xml:space="preserve">Curso de Especialização em </w:t>
      </w: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Direito Tributário</w:t>
      </w: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(IBET)</w:t>
      </w:r>
    </w:p>
    <w:p w:rsidR="008346F9" w:rsidRDefault="008346F9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1D700C" w:rsidRDefault="001D700C" w:rsidP="008346F9">
      <w:pPr>
        <w:jc w:val="center"/>
        <w:rPr>
          <w:rFonts w:asciiTheme="majorHAnsi" w:hAnsiTheme="majorHAnsi"/>
          <w:sz w:val="32"/>
          <w:szCs w:val="32"/>
        </w:rPr>
      </w:pPr>
    </w:p>
    <w:tbl>
      <w:tblPr>
        <w:tblW w:w="0" w:type="auto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</w:tblGrid>
      <w:tr w:rsidR="001D5E53" w:rsidTr="001D5E53">
        <w:trPr>
          <w:trHeight w:val="3930"/>
        </w:trPr>
        <w:tc>
          <w:tcPr>
            <w:tcW w:w="7005" w:type="dxa"/>
          </w:tcPr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0A1F4E" w:rsidRDefault="000A1F4E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1D5E53" w:rsidRPr="001D5E53" w:rsidRDefault="00FE492B" w:rsidP="001D5E53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/>
                <w:b/>
                <w:sz w:val="32"/>
                <w:szCs w:val="32"/>
                <w:u w:val="single"/>
              </w:rPr>
              <w:t xml:space="preserve">SEMINÁRIO </w:t>
            </w:r>
            <w:r w:rsidR="00211EDE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  <w:r w:rsidR="000E6418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  <w:r w:rsidR="00CE4BE4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</w:p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3A4999" w:rsidRDefault="003A4999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0A1F4E" w:rsidRDefault="000A1F4E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40154F" w:rsidRDefault="000E6418" w:rsidP="000E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-BoldMT" w:hAnsi="Arial-BoldMT" w:cs="Arial-BoldMT"/>
                <w:b/>
                <w:bCs/>
                <w:sz w:val="32"/>
                <w:szCs w:val="32"/>
              </w:rPr>
            </w:pP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AÇÕES TRIBUTÁRIAS: DECLARATÓRIA, ANULATÓRIA,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 xml:space="preserve"> </w:t>
            </w: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CONSIGNAÇÃO EM PAGAMENTO, EMBARGOS À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 xml:space="preserve"> </w:t>
            </w: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EXECUÇÃO E EXCEÇÃO DE PRÉ-EXECUTIVIDADE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.</w:t>
            </w:r>
          </w:p>
          <w:p w:rsidR="000A62DD" w:rsidRDefault="000A62DD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C25245" w:rsidRDefault="00C25245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FE492B" w:rsidRDefault="00FE492B" w:rsidP="00FE492B">
            <w:pPr>
              <w:pStyle w:val="seminrio1"/>
              <w:suppressAutoHyphens/>
              <w:spacing w:after="0"/>
              <w:rPr>
                <w:rFonts w:asciiTheme="majorHAnsi" w:hAnsiTheme="majorHAnsi"/>
              </w:rPr>
            </w:pPr>
          </w:p>
        </w:tc>
      </w:tr>
    </w:tbl>
    <w:p w:rsidR="00FE492B" w:rsidRDefault="00FE492B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FE492B" w:rsidRDefault="00FE492B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REINALDO PEREIRA DA SILVA</w:t>
      </w:r>
    </w:p>
    <w:p w:rsidR="008346F9" w:rsidRDefault="000E6418" w:rsidP="008346F9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ABRIL</w:t>
      </w:r>
      <w:r w:rsidR="00BD486E">
        <w:rPr>
          <w:rFonts w:asciiTheme="majorHAnsi" w:hAnsiTheme="majorHAnsi"/>
          <w:b/>
          <w:sz w:val="32"/>
          <w:szCs w:val="32"/>
        </w:rPr>
        <w:t>/2017</w:t>
      </w:r>
    </w:p>
    <w:p w:rsidR="006F797F" w:rsidRPr="00604521" w:rsidRDefault="006F797F" w:rsidP="0006450C">
      <w:pPr>
        <w:pStyle w:val="1"/>
        <w:spacing w:before="0" w:after="0"/>
        <w:rPr>
          <w:rFonts w:ascii="Arial" w:hAnsi="Arial" w:cs="Arial"/>
          <w:color w:val="auto"/>
          <w:w w:val="100"/>
          <w:u w:val="single"/>
        </w:rPr>
      </w:pPr>
      <w:r w:rsidRPr="00604521">
        <w:rPr>
          <w:rFonts w:ascii="Arial" w:hAnsi="Arial" w:cs="Arial"/>
          <w:color w:val="auto"/>
          <w:w w:val="100"/>
          <w:u w:val="single"/>
        </w:rPr>
        <w:lastRenderedPageBreak/>
        <w:t>Questões:</w:t>
      </w:r>
    </w:p>
    <w:p w:rsidR="001D700C" w:rsidRPr="00604521" w:rsidRDefault="001D700C" w:rsidP="0006450C">
      <w:pPr>
        <w:pStyle w:val="1"/>
        <w:spacing w:before="0" w:after="0"/>
        <w:rPr>
          <w:rFonts w:ascii="Arial" w:hAnsi="Arial" w:cs="Arial"/>
          <w:color w:val="FF0000"/>
          <w:w w:val="100"/>
          <w:u w:val="single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1. Quanto à ação declaratória de inexistência de relação jurídica tributária, pergunta</w:t>
      </w:r>
      <w:r>
        <w:rPr>
          <w:rFonts w:ascii="ArialMT" w:hAnsi="ArialMT" w:cs="ArialMT"/>
          <w:color w:val="FF0000"/>
          <w:sz w:val="24"/>
          <w:szCs w:val="24"/>
        </w:rPr>
        <w:t>-</w:t>
      </w:r>
      <w:r w:rsidRPr="00967F48">
        <w:rPr>
          <w:rFonts w:ascii="ArialMT" w:hAnsi="ArialMT" w:cs="ArialMT"/>
          <w:color w:val="FF0000"/>
          <w:sz w:val="24"/>
          <w:szCs w:val="24"/>
        </w:rPr>
        <w:t>se: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Quando nasce o interesse processual para sua propositura? O manejo do referido instrumento processual em momento anterior à constituição do crédito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configura necessariamente questionamento de “lei em tese”?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acordo com novo </w:t>
      </w:r>
      <w:r w:rsidRPr="00CB51C5">
        <w:rPr>
          <w:rFonts w:ascii="Arial" w:hAnsi="Arial" w:cs="Arial"/>
          <w:sz w:val="24"/>
        </w:rPr>
        <w:t>Código de Processo Civil</w:t>
      </w:r>
      <w:r>
        <w:rPr>
          <w:rFonts w:ascii="Arial" w:hAnsi="Arial" w:cs="Arial"/>
          <w:sz w:val="24"/>
        </w:rPr>
        <w:t xml:space="preserve">, art. 19, inciso I, </w:t>
      </w:r>
      <w:r w:rsidRPr="00CB51C5">
        <w:rPr>
          <w:rFonts w:ascii="Arial" w:hAnsi="Arial" w:cs="Arial"/>
          <w:sz w:val="24"/>
        </w:rPr>
        <w:t>a ação declaratória tem dupla</w:t>
      </w:r>
      <w:r>
        <w:rPr>
          <w:rFonts w:ascii="Arial" w:hAnsi="Arial" w:cs="Arial"/>
          <w:sz w:val="24"/>
        </w:rPr>
        <w:t xml:space="preserve"> </w:t>
      </w:r>
      <w:r w:rsidRPr="00CB51C5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unção</w:t>
      </w:r>
      <w:r w:rsidRPr="00CB51C5">
        <w:rPr>
          <w:rFonts w:ascii="Arial" w:hAnsi="Arial" w:cs="Arial"/>
          <w:sz w:val="24"/>
        </w:rPr>
        <w:t>: obter a declaração de existência ou de inexistência</w:t>
      </w:r>
      <w:r>
        <w:rPr>
          <w:rFonts w:ascii="Arial" w:hAnsi="Arial" w:cs="Arial"/>
          <w:sz w:val="24"/>
        </w:rPr>
        <w:t xml:space="preserve"> ou do modo de ser</w:t>
      </w:r>
      <w:r w:rsidRPr="00CB51C5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uma </w:t>
      </w:r>
      <w:r w:rsidRPr="00CB51C5">
        <w:rPr>
          <w:rFonts w:ascii="Arial" w:hAnsi="Arial" w:cs="Arial"/>
          <w:sz w:val="24"/>
        </w:rPr>
        <w:t>relação jurídica.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CB51C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propositura da ação declaratória deve se dar</w:t>
      </w:r>
      <w:r w:rsidRPr="00CB51C5">
        <w:rPr>
          <w:rFonts w:ascii="Arial" w:hAnsi="Arial" w:cs="Arial"/>
          <w:sz w:val="24"/>
        </w:rPr>
        <w:t xml:space="preserve"> antes da constituição do crédito tributário</w:t>
      </w:r>
      <w:r>
        <w:rPr>
          <w:rFonts w:ascii="Arial" w:hAnsi="Arial" w:cs="Arial"/>
          <w:sz w:val="24"/>
        </w:rPr>
        <w:t>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CB51C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Uma vez constituído o crédito pelo fisco,</w:t>
      </w:r>
      <w:r w:rsidRPr="00CB51C5">
        <w:rPr>
          <w:rFonts w:ascii="Arial" w:hAnsi="Arial" w:cs="Arial"/>
          <w:sz w:val="24"/>
        </w:rPr>
        <w:t xml:space="preserve"> a lesão ao sujeito passivo é concreta, </w:t>
      </w:r>
      <w:r>
        <w:rPr>
          <w:rFonts w:ascii="Arial" w:hAnsi="Arial" w:cs="Arial"/>
          <w:sz w:val="24"/>
        </w:rPr>
        <w:t xml:space="preserve">dado que pode ficar </w:t>
      </w:r>
      <w:r w:rsidRPr="00CB51C5">
        <w:rPr>
          <w:rFonts w:ascii="Arial" w:hAnsi="Arial" w:cs="Arial"/>
          <w:sz w:val="24"/>
        </w:rPr>
        <w:t>impossibili</w:t>
      </w:r>
      <w:r>
        <w:rPr>
          <w:rFonts w:ascii="Arial" w:hAnsi="Arial" w:cs="Arial"/>
          <w:sz w:val="24"/>
        </w:rPr>
        <w:t>tado</w:t>
      </w:r>
      <w:r w:rsidRPr="00CB51C5">
        <w:rPr>
          <w:rFonts w:ascii="Arial" w:hAnsi="Arial" w:cs="Arial"/>
          <w:sz w:val="24"/>
        </w:rPr>
        <w:t xml:space="preserve"> de gozar de um benefício fiscal</w:t>
      </w:r>
      <w:r>
        <w:rPr>
          <w:rFonts w:ascii="Arial" w:hAnsi="Arial" w:cs="Arial"/>
          <w:sz w:val="24"/>
        </w:rPr>
        <w:t xml:space="preserve"> que</w:t>
      </w:r>
      <w:r w:rsidRPr="00CB51C5">
        <w:rPr>
          <w:rFonts w:ascii="Arial" w:hAnsi="Arial" w:cs="Arial"/>
          <w:sz w:val="24"/>
        </w:rPr>
        <w:t xml:space="preserve"> entende ter direito </w:t>
      </w:r>
      <w:r>
        <w:rPr>
          <w:rFonts w:ascii="Arial" w:hAnsi="Arial" w:cs="Arial"/>
          <w:sz w:val="24"/>
        </w:rPr>
        <w:t>ou</w:t>
      </w:r>
      <w:r w:rsidRPr="00CB51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ainda </w:t>
      </w:r>
      <w:r w:rsidRPr="00CB51C5">
        <w:rPr>
          <w:rFonts w:ascii="Arial" w:hAnsi="Arial" w:cs="Arial"/>
          <w:sz w:val="24"/>
        </w:rPr>
        <w:t xml:space="preserve">por ser </w:t>
      </w:r>
      <w:r>
        <w:rPr>
          <w:rFonts w:ascii="Arial" w:hAnsi="Arial" w:cs="Arial"/>
          <w:sz w:val="24"/>
        </w:rPr>
        <w:t>tributado</w:t>
      </w:r>
      <w:r w:rsidRPr="00CB51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que </w:t>
      </w:r>
      <w:r w:rsidRPr="00CB51C5">
        <w:rPr>
          <w:rFonts w:ascii="Arial" w:hAnsi="Arial" w:cs="Arial"/>
          <w:sz w:val="24"/>
        </w:rPr>
        <w:t xml:space="preserve">não concorde. </w:t>
      </w:r>
      <w:r>
        <w:rPr>
          <w:rFonts w:ascii="Arial" w:hAnsi="Arial" w:cs="Arial"/>
          <w:sz w:val="24"/>
        </w:rPr>
        <w:t>Portanto, n</w:t>
      </w:r>
      <w:r w:rsidRPr="00CB51C5">
        <w:rPr>
          <w:rFonts w:ascii="Arial" w:hAnsi="Arial" w:cs="Arial"/>
          <w:sz w:val="24"/>
        </w:rPr>
        <w:t xml:space="preserve">ão </w:t>
      </w:r>
      <w:r>
        <w:rPr>
          <w:rFonts w:ascii="Arial" w:hAnsi="Arial" w:cs="Arial"/>
          <w:sz w:val="24"/>
        </w:rPr>
        <w:t xml:space="preserve">existe o </w:t>
      </w:r>
      <w:r w:rsidRPr="00CB51C5">
        <w:rPr>
          <w:rFonts w:ascii="Arial" w:hAnsi="Arial" w:cs="Arial"/>
          <w:sz w:val="24"/>
        </w:rPr>
        <w:t>questionamento de lei em tese, via aç</w:t>
      </w:r>
      <w:r>
        <w:rPr>
          <w:rFonts w:ascii="Arial" w:hAnsi="Arial" w:cs="Arial"/>
          <w:sz w:val="24"/>
        </w:rPr>
        <w:t>ão declaratória.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b) Há interesse jurídico na sua propositura após a expedição do ato constitutivo do crédito tributário? Em caso afirmativo, quais seriam os efeitos da referida tutela jurisdicional?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E411E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9E10A7" w:rsidRPr="00CB51C5">
        <w:rPr>
          <w:rFonts w:ascii="Arial" w:hAnsi="Arial" w:cs="Arial"/>
          <w:sz w:val="24"/>
        </w:rPr>
        <w:t xml:space="preserve"> interesse jurídico </w:t>
      </w:r>
      <w:r>
        <w:rPr>
          <w:rFonts w:ascii="Arial" w:hAnsi="Arial" w:cs="Arial"/>
          <w:sz w:val="24"/>
        </w:rPr>
        <w:t xml:space="preserve">na propositura da ação declaratória sucumbe </w:t>
      </w:r>
      <w:r w:rsidR="009E10A7" w:rsidRPr="00CB51C5">
        <w:rPr>
          <w:rFonts w:ascii="Arial" w:hAnsi="Arial" w:cs="Arial"/>
          <w:sz w:val="24"/>
        </w:rPr>
        <w:t xml:space="preserve">após a expedição do ato constitutivo do crédito tributário, </w:t>
      </w:r>
      <w:r>
        <w:rPr>
          <w:rFonts w:ascii="Arial" w:hAnsi="Arial" w:cs="Arial"/>
          <w:sz w:val="24"/>
        </w:rPr>
        <w:t>dado</w:t>
      </w:r>
      <w:r w:rsidR="009E10A7" w:rsidRPr="00CB51C5">
        <w:rPr>
          <w:rFonts w:ascii="Arial" w:hAnsi="Arial" w:cs="Arial"/>
          <w:sz w:val="24"/>
        </w:rPr>
        <w:t xml:space="preserve"> que ninguém pode propor mera declaração de inexistência de algo que já se consumou de forma concreta</w:t>
      </w:r>
      <w:r>
        <w:rPr>
          <w:rFonts w:ascii="Arial" w:hAnsi="Arial" w:cs="Arial"/>
          <w:sz w:val="24"/>
        </w:rPr>
        <w:t>.</w:t>
      </w:r>
    </w:p>
    <w:p w:rsidR="001E411E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9E10A7" w:rsidRPr="00CB51C5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efeitos de uma tutela jurisdicional neste caso seria de</w:t>
      </w:r>
      <w:r w:rsidR="009E10A7" w:rsidRPr="00CB51C5">
        <w:rPr>
          <w:rFonts w:ascii="Arial" w:hAnsi="Arial" w:cs="Arial"/>
          <w:sz w:val="24"/>
        </w:rPr>
        <w:t xml:space="preserve"> desconstituição ou de anulação da</w:t>
      </w:r>
      <w:r>
        <w:rPr>
          <w:rFonts w:ascii="Arial" w:hAnsi="Arial" w:cs="Arial"/>
          <w:sz w:val="24"/>
        </w:rPr>
        <w:t xml:space="preserve"> </w:t>
      </w:r>
      <w:r w:rsidR="009E10A7" w:rsidRPr="00CB51C5">
        <w:rPr>
          <w:rFonts w:ascii="Arial" w:hAnsi="Arial" w:cs="Arial"/>
          <w:sz w:val="24"/>
        </w:rPr>
        <w:t>relação já constituída.</w:t>
      </w:r>
    </w:p>
    <w:p w:rsidR="009E10A7" w:rsidRPr="00CB51C5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2. Quanto à ação anulatória de débito fiscal, pergunta-se: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É viável a propositura de ação anulatória para desconstituição de relação jurídica constituída pelo próprio contribuinte por meio de DCTF, cujo recolhimento do tributo ainda não tenha ocorrido?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E6418" w:rsidRPr="009E10A7" w:rsidRDefault="008176D4" w:rsidP="008176D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76D4">
        <w:rPr>
          <w:rFonts w:ascii="Arial" w:hAnsi="Arial" w:cs="Arial"/>
          <w:sz w:val="24"/>
        </w:rPr>
        <w:t xml:space="preserve">O fisco </w:t>
      </w:r>
      <w:r>
        <w:rPr>
          <w:rFonts w:ascii="Arial" w:hAnsi="Arial" w:cs="Arial"/>
          <w:sz w:val="24"/>
        </w:rPr>
        <w:t>através de seus órgãos podem rever decisões administrativas, assim, uma vez que o contribuinte discorde da decisão administrativa ou de eventual recusa de análise de recurso interposto</w:t>
      </w:r>
      <w:r>
        <w:rPr>
          <w:rFonts w:ascii="ArialMT" w:hAnsi="ArialMT" w:cs="ArialMT"/>
          <w:sz w:val="24"/>
          <w:szCs w:val="24"/>
        </w:rPr>
        <w:t xml:space="preserve"> é possível recorrer a esfera </w:t>
      </w:r>
      <w:r w:rsidR="009E10A7" w:rsidRPr="009E10A7">
        <w:rPr>
          <w:rFonts w:ascii="ArialMT" w:hAnsi="ArialMT" w:cs="ArialMT"/>
          <w:sz w:val="24"/>
          <w:szCs w:val="24"/>
        </w:rPr>
        <w:t>judicial, que</w:t>
      </w:r>
      <w:r>
        <w:rPr>
          <w:rFonts w:ascii="ArialMT" w:hAnsi="ArialMT" w:cs="ArialMT"/>
          <w:sz w:val="24"/>
          <w:szCs w:val="24"/>
        </w:rPr>
        <w:t xml:space="preserve"> autoriza</w:t>
      </w:r>
      <w:r w:rsidR="009E10A7" w:rsidRPr="009E10A7">
        <w:rPr>
          <w:rFonts w:ascii="ArialMT" w:hAnsi="ArialMT" w:cs="ArialMT"/>
          <w:sz w:val="24"/>
          <w:szCs w:val="24"/>
        </w:rPr>
        <w:t xml:space="preserve"> o uso de ação anulatória contra lançamento realizado por ele próprio</w:t>
      </w:r>
      <w:r w:rsidR="00727D57">
        <w:rPr>
          <w:rFonts w:ascii="ArialMT" w:hAnsi="ArialMT" w:cs="ArialMT"/>
          <w:sz w:val="24"/>
          <w:szCs w:val="24"/>
        </w:rPr>
        <w:t>, tendo respaldo ainda na Carta Magna no seu art. 5º, Inciso XXXV, que trata d</w:t>
      </w:r>
      <w:r w:rsidR="00523715">
        <w:rPr>
          <w:rFonts w:ascii="ArialMT" w:hAnsi="ArialMT" w:cs="ArialMT"/>
          <w:sz w:val="24"/>
          <w:szCs w:val="24"/>
        </w:rPr>
        <w:t>a inafastabilidade do poder jurisdicional</w:t>
      </w:r>
      <w:r w:rsidR="009E10A7" w:rsidRPr="009E10A7">
        <w:rPr>
          <w:rFonts w:ascii="ArialMT" w:hAnsi="ArialMT" w:cs="ArialMT"/>
          <w:sz w:val="24"/>
          <w:szCs w:val="24"/>
        </w:rPr>
        <w:t>.</w:t>
      </w:r>
    </w:p>
    <w:p w:rsidR="009E10A7" w:rsidRPr="009E10A7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E10A7" w:rsidRPr="00967F48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b) Qual o prazo prescricional para a ação anulatória de débito fiscal? É possível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>ingressar com ação anulatória de débito após a propositura da ação executiva fiscal? E após o transcurso do prazo para apresentação dos embargos à execução?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E44221" w:rsidRPr="00B746B8" w:rsidRDefault="00E44221" w:rsidP="00E442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B746B8">
        <w:rPr>
          <w:rFonts w:ascii="Arial" w:hAnsi="Arial" w:cs="Arial"/>
          <w:sz w:val="24"/>
        </w:rPr>
        <w:t>Quanto a prescrição da Ação Anulatória, temos dois prazos:</w:t>
      </w:r>
    </w:p>
    <w:p w:rsidR="00B746B8" w:rsidRDefault="00B746B8" w:rsidP="00E442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2072DE" w:rsidRPr="002072DE" w:rsidRDefault="00E44221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B746B8">
        <w:rPr>
          <w:rFonts w:ascii="Arial" w:hAnsi="Arial" w:cs="Arial"/>
          <w:sz w:val="24"/>
        </w:rPr>
        <w:t>a) Em Ação Anulatória, segundo o art. 38 da LEF, que visa desconstituir o lançamento e o auto de infração, será de 5 anos,</w:t>
      </w:r>
      <w:r w:rsidR="00B746B8">
        <w:rPr>
          <w:rFonts w:ascii="Arial" w:hAnsi="Arial" w:cs="Arial"/>
          <w:sz w:val="24"/>
        </w:rPr>
        <w:t xml:space="preserve"> </w:t>
      </w:r>
      <w:r w:rsidRPr="00B746B8">
        <w:rPr>
          <w:rFonts w:ascii="Arial" w:hAnsi="Arial" w:cs="Arial"/>
          <w:sz w:val="24"/>
        </w:rPr>
        <w:t>na forma do Art. 1º do Dec. nº 20.190/32, contados a partir da data da notificação</w:t>
      </w:r>
      <w:r w:rsidR="00B746B8">
        <w:rPr>
          <w:rFonts w:ascii="Arial" w:hAnsi="Arial" w:cs="Arial"/>
          <w:sz w:val="24"/>
        </w:rPr>
        <w:t xml:space="preserve"> </w:t>
      </w:r>
      <w:r w:rsidR="002072DE" w:rsidRPr="002072DE">
        <w:rPr>
          <w:rFonts w:ascii="Arial" w:hAnsi="Arial" w:cs="Arial"/>
          <w:sz w:val="24"/>
        </w:rPr>
        <w:t>do fato ou ato do qual se originarem.</w:t>
      </w:r>
    </w:p>
    <w:p w:rsidR="002072DE" w:rsidRPr="002072DE" w:rsidRDefault="002072DE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B746B8" w:rsidRDefault="002072DE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Em Ação Anulatória, segundo o art. 169 do CTN, o </w:t>
      </w:r>
      <w:r w:rsidRPr="002072DE">
        <w:rPr>
          <w:rFonts w:ascii="Arial" w:hAnsi="Arial" w:cs="Arial"/>
          <w:sz w:val="24"/>
        </w:rPr>
        <w:t>prazo será de 2 anos, que tem como objeto</w:t>
      </w:r>
      <w:r>
        <w:rPr>
          <w:rFonts w:ascii="Arial" w:hAnsi="Arial" w:cs="Arial"/>
          <w:sz w:val="24"/>
        </w:rPr>
        <w:t xml:space="preserve"> </w:t>
      </w:r>
      <w:r w:rsidRPr="002072DE">
        <w:rPr>
          <w:rFonts w:ascii="Arial" w:hAnsi="Arial" w:cs="Arial"/>
          <w:sz w:val="24"/>
        </w:rPr>
        <w:t>a anulação de decisão administrativa denegatória de restituição de pagamento indevido</w:t>
      </w:r>
      <w:r w:rsidR="006A1087">
        <w:rPr>
          <w:rFonts w:ascii="Arial" w:hAnsi="Arial" w:cs="Arial"/>
          <w:sz w:val="24"/>
        </w:rPr>
        <w:t xml:space="preserve">, sendo </w:t>
      </w:r>
      <w:r w:rsidRPr="002072DE">
        <w:rPr>
          <w:rFonts w:ascii="Arial" w:hAnsi="Arial" w:cs="Arial"/>
          <w:sz w:val="24"/>
        </w:rPr>
        <w:t>conta</w:t>
      </w:r>
      <w:r w:rsidR="006A1087">
        <w:rPr>
          <w:rFonts w:ascii="Arial" w:hAnsi="Arial" w:cs="Arial"/>
          <w:sz w:val="24"/>
        </w:rPr>
        <w:t>da</w:t>
      </w:r>
      <w:r w:rsidRPr="002072DE">
        <w:rPr>
          <w:rFonts w:ascii="Arial" w:hAnsi="Arial" w:cs="Arial"/>
          <w:sz w:val="24"/>
        </w:rPr>
        <w:t xml:space="preserve"> da decisão</w:t>
      </w:r>
      <w:r>
        <w:rPr>
          <w:rFonts w:ascii="Arial" w:hAnsi="Arial" w:cs="Arial"/>
          <w:sz w:val="24"/>
        </w:rPr>
        <w:t xml:space="preserve"> </w:t>
      </w:r>
      <w:r w:rsidRPr="002072DE">
        <w:rPr>
          <w:rFonts w:ascii="Arial" w:hAnsi="Arial" w:cs="Arial"/>
          <w:sz w:val="24"/>
        </w:rPr>
        <w:t>administrativa que denegar a restituição.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746B8" w:rsidRDefault="009235DE" w:rsidP="009235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9235DE">
        <w:rPr>
          <w:rFonts w:ascii="ArialMT" w:hAnsi="ArialMT" w:cs="ArialMT"/>
          <w:sz w:val="24"/>
          <w:szCs w:val="24"/>
        </w:rPr>
        <w:t>O ajuizamento da Ação Anulatória é direito de ordem constitucional do devedor,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podendo ser exercido antes ou depois da propositura da ação exacional.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746B8" w:rsidRDefault="009235DE" w:rsidP="009235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9235DE">
        <w:rPr>
          <w:rFonts w:ascii="ArialMT" w:hAnsi="ArialMT" w:cs="ArialMT"/>
          <w:sz w:val="24"/>
          <w:szCs w:val="24"/>
        </w:rPr>
        <w:t>Os embargos à execução não encerram o único meio de insurgência contra a pretensão fiscal na via judicial, podendo serem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propostas ações declaratória e anulatória, dado que o ajuizamento da ação executiva não impede que o devedor exerça o direito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constitucional de ação para ver declarada a nulidade do título ou a inexistência da obrigação, seja por meio de embargos ou ain</w:t>
      </w:r>
      <w:r>
        <w:rPr>
          <w:rFonts w:ascii="ArialMT" w:hAnsi="ArialMT" w:cs="ArialMT"/>
          <w:sz w:val="24"/>
          <w:szCs w:val="24"/>
        </w:rPr>
        <w:t>d</w:t>
      </w:r>
      <w:r w:rsidRPr="009235DE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por outra ação declaratória ou desconstitutiva.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3. Que relações podem existir entre as ações anulatória de débito, executiva fiscal e embargos à execução: conexão, continência ou prejudicialidade (ou nenhuma das alternativas)? Qual o juízo competente para julgá-las? Deverão ser reunidas?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Responder a essa pergunta, indicando a causa de pedir e o pedido de cada uma dessas medidas judiciais. (Vide anexos I e II).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AF58C9" w:rsidRDefault="0063555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 xml:space="preserve">O provimento da Ação Anulatória de Indébito Fiscal prejudica a Ação Executiva Fiscal uma vez que o primeiro visa ao cerceamento de uma dívida que a segunda ação visa à cobrança. </w:t>
      </w:r>
    </w:p>
    <w:p w:rsid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8C9" w:rsidRDefault="0063555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 xml:space="preserve">O pedido da anulatória é a anulação do lançamento formalizado pelo auto de infração e a causa de pedir é o direito que foi violado. </w:t>
      </w:r>
    </w:p>
    <w:p w:rsid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559" w:rsidRP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635559" w:rsidRPr="00AF58C9">
        <w:rPr>
          <w:rFonts w:ascii="Arial" w:hAnsi="Arial" w:cs="Arial"/>
          <w:sz w:val="24"/>
          <w:szCs w:val="24"/>
        </w:rPr>
        <w:t xml:space="preserve"> execução fiscal o pedido é o</w:t>
      </w:r>
      <w:r>
        <w:rPr>
          <w:rFonts w:ascii="Arial" w:hAnsi="Arial" w:cs="Arial"/>
          <w:sz w:val="24"/>
          <w:szCs w:val="24"/>
        </w:rPr>
        <w:t xml:space="preserve"> </w:t>
      </w:r>
      <w:r w:rsidR="00635559" w:rsidRPr="00AF58C9">
        <w:rPr>
          <w:rFonts w:ascii="Arial" w:hAnsi="Arial" w:cs="Arial"/>
          <w:sz w:val="24"/>
          <w:szCs w:val="24"/>
        </w:rPr>
        <w:t>pagamento do valor devido e a causa de pedir é a relação jurídico-tributária constituída pelo lançamento.</w:t>
      </w:r>
    </w:p>
    <w:p w:rsidR="000E6418" w:rsidRPr="00AF58C9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F58C9" w:rsidRDefault="0063555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>A execução fiscal, não pode ser proposta nos juizados especiais, nem nos juizados especial da</w:t>
      </w:r>
      <w:r w:rsidR="00AF58C9">
        <w:rPr>
          <w:rFonts w:ascii="Arial" w:hAnsi="Arial" w:cs="Arial"/>
          <w:sz w:val="24"/>
          <w:szCs w:val="24"/>
        </w:rPr>
        <w:t xml:space="preserve"> </w:t>
      </w:r>
      <w:r w:rsidR="00272B85">
        <w:rPr>
          <w:rFonts w:ascii="Arial" w:hAnsi="Arial" w:cs="Arial"/>
          <w:sz w:val="24"/>
          <w:szCs w:val="24"/>
        </w:rPr>
        <w:t>fazenda pública estadual, dado que</w:t>
      </w:r>
      <w:r w:rsidRPr="00AF58C9">
        <w:rPr>
          <w:rFonts w:ascii="Arial" w:hAnsi="Arial" w:cs="Arial"/>
          <w:sz w:val="24"/>
          <w:szCs w:val="24"/>
        </w:rPr>
        <w:t xml:space="preserve"> existe vedação expressa no artigo 3°, inciso I da Lei 10.259/2001 e artigo 2° inciso I da Lei 12.153/2009. </w:t>
      </w:r>
    </w:p>
    <w:p w:rsidR="00AF58C9" w:rsidRDefault="00AF58C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559" w:rsidRPr="00AF58C9" w:rsidRDefault="00635559" w:rsidP="00AF5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lastRenderedPageBreak/>
        <w:t>Portanto, as execuções fiscais são distribuídas ao juiz de direito de uma das varas de execução fiscal ou vara única</w:t>
      </w:r>
      <w:r w:rsidR="00AF58C9">
        <w:rPr>
          <w:rFonts w:ascii="Arial" w:hAnsi="Arial" w:cs="Arial"/>
          <w:sz w:val="24"/>
          <w:szCs w:val="24"/>
        </w:rPr>
        <w:t>.</w:t>
      </w:r>
    </w:p>
    <w:p w:rsidR="00635559" w:rsidRDefault="0063555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3279A1" w:rsidRDefault="003279A1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</w:t>
      </w:r>
      <w:r w:rsidRPr="003279A1">
        <w:rPr>
          <w:rFonts w:ascii="ArialMT" w:hAnsi="ArialMT" w:cs="ArialMT"/>
          <w:sz w:val="24"/>
          <w:szCs w:val="24"/>
        </w:rPr>
        <w:t xml:space="preserve"> ação anulatória de débito e a execução fiscal tem conexão</w:t>
      </w:r>
      <w:r>
        <w:rPr>
          <w:rFonts w:ascii="ArialMT" w:hAnsi="ArialMT" w:cs="ArialMT"/>
          <w:sz w:val="24"/>
          <w:szCs w:val="24"/>
        </w:rPr>
        <w:t xml:space="preserve">, dado que </w:t>
      </w:r>
      <w:r w:rsidRPr="003279A1">
        <w:rPr>
          <w:rFonts w:ascii="ArialMT" w:hAnsi="ArialMT" w:cs="ArialMT"/>
          <w:sz w:val="24"/>
          <w:szCs w:val="24"/>
        </w:rPr>
        <w:t>a causa de pedir remota</w:t>
      </w:r>
      <w:r>
        <w:rPr>
          <w:rFonts w:ascii="ArialMT" w:hAnsi="ArialMT" w:cs="ArialMT"/>
          <w:sz w:val="24"/>
          <w:szCs w:val="24"/>
        </w:rPr>
        <w:t>, ou seja os f</w:t>
      </w:r>
      <w:r w:rsidRPr="003279A1">
        <w:rPr>
          <w:rFonts w:ascii="ArialMT" w:hAnsi="ArialMT" w:cs="ArialMT"/>
          <w:sz w:val="24"/>
          <w:szCs w:val="24"/>
        </w:rPr>
        <w:t xml:space="preserve">atos jurídicos de ambas as ações é comum, </w:t>
      </w:r>
      <w:r>
        <w:rPr>
          <w:rFonts w:ascii="ArialMT" w:hAnsi="ArialMT" w:cs="ArialMT"/>
          <w:sz w:val="24"/>
          <w:szCs w:val="24"/>
        </w:rPr>
        <w:t>porquanto</w:t>
      </w:r>
      <w:r w:rsidRPr="003279A1">
        <w:rPr>
          <w:rFonts w:ascii="ArialMT" w:hAnsi="ArialMT" w:cs="ArialMT"/>
          <w:sz w:val="24"/>
          <w:szCs w:val="24"/>
        </w:rPr>
        <w:t xml:space="preserve"> a ação anulatória </w:t>
      </w:r>
      <w:r>
        <w:rPr>
          <w:rFonts w:ascii="ArialMT" w:hAnsi="ArialMT" w:cs="ArialMT"/>
          <w:sz w:val="24"/>
          <w:szCs w:val="24"/>
        </w:rPr>
        <w:t xml:space="preserve">e </w:t>
      </w:r>
      <w:r w:rsidRPr="003279A1">
        <w:rPr>
          <w:rFonts w:ascii="ArialMT" w:hAnsi="ArialMT" w:cs="ArialMT"/>
          <w:sz w:val="24"/>
          <w:szCs w:val="24"/>
        </w:rPr>
        <w:t xml:space="preserve">a execução fiscal se fundam na existência de um determinado crédito tributário. </w:t>
      </w:r>
      <w:r>
        <w:rPr>
          <w:rFonts w:ascii="ArialMT" w:hAnsi="ArialMT" w:cs="ArialMT"/>
          <w:sz w:val="24"/>
          <w:szCs w:val="24"/>
        </w:rPr>
        <w:t xml:space="preserve">Constituindo a mesma </w:t>
      </w:r>
      <w:r w:rsidRPr="003279A1">
        <w:rPr>
          <w:rFonts w:ascii="ArialMT" w:hAnsi="ArialMT" w:cs="ArialMT"/>
          <w:sz w:val="24"/>
          <w:szCs w:val="24"/>
        </w:rPr>
        <w:t>causa de pedir remota</w:t>
      </w:r>
      <w:r>
        <w:rPr>
          <w:rFonts w:ascii="ArialMT" w:hAnsi="ArialMT" w:cs="ArialMT"/>
          <w:sz w:val="24"/>
          <w:szCs w:val="24"/>
        </w:rPr>
        <w:t>, que</w:t>
      </w:r>
      <w:r w:rsidRPr="003279A1">
        <w:rPr>
          <w:rFonts w:ascii="ArialMT" w:hAnsi="ArialMT" w:cs="ArialMT"/>
          <w:sz w:val="24"/>
          <w:szCs w:val="24"/>
        </w:rPr>
        <w:t xml:space="preserve"> basta para a conexão das ações</w:t>
      </w:r>
      <w:r>
        <w:rPr>
          <w:rFonts w:ascii="ArialMT" w:hAnsi="ArialMT" w:cs="ArialMT"/>
          <w:sz w:val="24"/>
          <w:szCs w:val="24"/>
        </w:rPr>
        <w:t>.</w:t>
      </w:r>
    </w:p>
    <w:p w:rsidR="003279A1" w:rsidRPr="00A144D7" w:rsidRDefault="003279A1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4. Você é procurado pela empresa AZT Foods do Brasil Ltda. em função do seguinte caso que lhe foi colocado por ela: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CASO CONCRETO – Em função de sua atividade a e</w:t>
      </w:r>
      <w:r w:rsidR="00B26FBD">
        <w:rPr>
          <w:rFonts w:ascii="ArialMT" w:hAnsi="ArialMT" w:cs="ArialMT"/>
          <w:color w:val="FF0000"/>
          <w:sz w:val="24"/>
          <w:szCs w:val="24"/>
        </w:rPr>
        <w:t>mpresa AZT Foods do Brasil Ltda,</w:t>
      </w:r>
      <w:r w:rsidRPr="00967F48">
        <w:rPr>
          <w:rFonts w:ascii="ArialMT" w:hAnsi="ArialMT" w:cs="ArialMT"/>
          <w:color w:val="FF0000"/>
          <w:sz w:val="24"/>
          <w:szCs w:val="24"/>
        </w:rPr>
        <w:t xml:space="preserve"> está sujeita ao pagamento de determinado tributo pela venda de seu produto.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Nos últimos 3 anos, em função de algumas dificuldades financeiras, ela não o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pagou, pretendendo fazê-lo agora por se encontrar em melhores condições</w:t>
      </w:r>
      <w:r>
        <w:rPr>
          <w:rFonts w:ascii="ArialMT" w:hAnsi="ArialMT" w:cs="ArialMT"/>
          <w:color w:val="FF0000"/>
          <w:sz w:val="24"/>
          <w:szCs w:val="24"/>
        </w:rPr>
        <w:t xml:space="preserve"> </w:t>
      </w:r>
      <w:r w:rsidRPr="00967F48">
        <w:rPr>
          <w:rFonts w:ascii="ArialMT" w:hAnsi="ArialMT" w:cs="ArialMT"/>
          <w:color w:val="FF0000"/>
          <w:sz w:val="24"/>
          <w:szCs w:val="24"/>
        </w:rPr>
        <w:t>financeiras. Contudo, em função do inadimplemento está sujeita a uma multa,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instituída por ato normativo infralegal, de 45% do valor da operação (venda de seu produto).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 AZT solicita um parecer em que você deverá apontar: (a) a estratégia processual (a medida judicial ou medidas judiciais) a ser adotada para a defesa dos seus</w:t>
      </w:r>
      <w:r>
        <w:rPr>
          <w:rFonts w:ascii="ArialMT" w:hAnsi="ArialMT" w:cs="ArialMT"/>
          <w:color w:val="FF0000"/>
          <w:sz w:val="24"/>
          <w:szCs w:val="24"/>
        </w:rPr>
        <w:t xml:space="preserve"> </w:t>
      </w:r>
      <w:r w:rsidRPr="00967F48">
        <w:rPr>
          <w:rFonts w:ascii="ArialMT" w:hAnsi="ArialMT" w:cs="ArialMT"/>
          <w:color w:val="FF0000"/>
          <w:sz w:val="24"/>
          <w:szCs w:val="24"/>
        </w:rPr>
        <w:t>interesses, devendo ser justificada a opção da(s) medida(s), com a indicação do dispositivo de lei que determina o seu cabimento; (b) o(s) fundamento(s) jurídico(s) que poderá(ão) ser(em) utilizado(s) para afastar a exigência dessa multa; (c) o efeito da sentença obtido na ação (ou ações).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BF4FE9">
        <w:rPr>
          <w:rFonts w:ascii="ArialMT" w:hAnsi="ArialMT" w:cs="ArialMT"/>
          <w:b/>
          <w:sz w:val="24"/>
          <w:szCs w:val="24"/>
        </w:rPr>
        <w:t>Parecer nº ...</w:t>
      </w:r>
    </w:p>
    <w:p w:rsidR="00BF4A54" w:rsidRDefault="00BF4A54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Interessado: AZT Foods do Brasil Ltda</w:t>
      </w:r>
    </w:p>
    <w:p w:rsidR="00BF4A54" w:rsidRDefault="00BF4A54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BF4FE9" w:rsidRP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Assunto: Adoção medida judicial para defesa dos seus interesses junto ao fisco.</w:t>
      </w: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61103B">
        <w:rPr>
          <w:rFonts w:ascii="ArialMT" w:hAnsi="ArialMT" w:cs="ArialMT"/>
          <w:b/>
          <w:sz w:val="24"/>
          <w:szCs w:val="24"/>
        </w:rPr>
        <w:t>Relatório: representado aqui pelo enunciado da questão, pass</w:t>
      </w:r>
      <w:r w:rsidR="00BF4A54">
        <w:rPr>
          <w:rFonts w:ascii="ArialMT" w:hAnsi="ArialMT" w:cs="ArialMT"/>
          <w:b/>
          <w:sz w:val="24"/>
          <w:szCs w:val="24"/>
        </w:rPr>
        <w:t>o</w:t>
      </w:r>
      <w:r w:rsidRPr="0061103B">
        <w:rPr>
          <w:rFonts w:ascii="ArialMT" w:hAnsi="ArialMT" w:cs="ArialMT"/>
          <w:b/>
          <w:sz w:val="24"/>
          <w:szCs w:val="24"/>
        </w:rPr>
        <w:t xml:space="preserve"> a opinar:</w:t>
      </w: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61103B">
        <w:rPr>
          <w:rFonts w:ascii="ArialMT" w:hAnsi="ArialMT" w:cs="ArialMT"/>
          <w:b/>
          <w:sz w:val="24"/>
          <w:szCs w:val="24"/>
        </w:rPr>
        <w:t>Fundamentação:</w:t>
      </w:r>
    </w:p>
    <w:p w:rsidR="00D139B2" w:rsidRP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274926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O Professor </w:t>
      </w:r>
      <w:r w:rsidRPr="00274926">
        <w:rPr>
          <w:rFonts w:ascii="ArialMT" w:hAnsi="ArialMT" w:cs="ArialMT"/>
          <w:sz w:val="24"/>
          <w:szCs w:val="24"/>
        </w:rPr>
        <w:t xml:space="preserve">Leonardo de Andrade Costa, </w:t>
      </w:r>
      <w:r>
        <w:rPr>
          <w:rFonts w:ascii="ArialMT" w:hAnsi="ArialMT" w:cs="ArialMT"/>
          <w:sz w:val="24"/>
          <w:szCs w:val="24"/>
        </w:rPr>
        <w:t>em seu livro “</w:t>
      </w:r>
      <w:r w:rsidRPr="00274926">
        <w:rPr>
          <w:rFonts w:ascii="ArialMT" w:hAnsi="ArialMT" w:cs="ArialMT"/>
          <w:sz w:val="24"/>
          <w:szCs w:val="24"/>
        </w:rPr>
        <w:t>Tributos em espécie</w:t>
      </w:r>
      <w:r>
        <w:rPr>
          <w:rFonts w:ascii="ArialMT" w:hAnsi="ArialMT" w:cs="ArialMT"/>
          <w:sz w:val="24"/>
          <w:szCs w:val="24"/>
        </w:rPr>
        <w:t xml:space="preserve">”, pág. 63, editora FGV, esclarece o </w:t>
      </w:r>
      <w:r w:rsidR="00B26FBD" w:rsidRPr="00B26FBD">
        <w:rPr>
          <w:rFonts w:ascii="ArialMT" w:hAnsi="ArialMT" w:cs="ArialMT"/>
          <w:sz w:val="24"/>
          <w:szCs w:val="24"/>
        </w:rPr>
        <w:t>que difere a obrigação tributária das demais</w:t>
      </w:r>
      <w:r>
        <w:rPr>
          <w:rFonts w:ascii="ArialMT" w:hAnsi="ArialMT" w:cs="ArialMT"/>
          <w:sz w:val="24"/>
          <w:szCs w:val="24"/>
        </w:rPr>
        <w:t>: lecionando</w:t>
      </w:r>
      <w:r w:rsidR="00B26FBD" w:rsidRPr="00B26FBD">
        <w:rPr>
          <w:rFonts w:ascii="ArialMT" w:hAnsi="ArialMT" w:cs="ArialMT"/>
          <w:sz w:val="24"/>
          <w:szCs w:val="24"/>
        </w:rPr>
        <w:t xml:space="preserve"> que esta tem por objeto uma prestação de natureza tributária,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="00B26FBD" w:rsidRPr="00B26FBD">
        <w:rPr>
          <w:rFonts w:ascii="ArialMT" w:hAnsi="ArialMT" w:cs="ArialMT"/>
          <w:sz w:val="24"/>
          <w:szCs w:val="24"/>
        </w:rPr>
        <w:t>que pode assumir a forma de um dar, no caso de obrigação de pagar título ou penalidade pecuniária, ou de fazer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="00B26FBD" w:rsidRPr="00B26FBD">
        <w:rPr>
          <w:rFonts w:ascii="ArialMT" w:hAnsi="ArialMT" w:cs="ArialMT"/>
          <w:sz w:val="24"/>
          <w:szCs w:val="24"/>
        </w:rPr>
        <w:t>ou não fazer alguma coisa, no caso da obriga</w:t>
      </w:r>
      <w:r w:rsidR="00D139B2">
        <w:rPr>
          <w:rFonts w:ascii="ArialMT" w:hAnsi="ArialMT" w:cs="ArialMT"/>
          <w:sz w:val="24"/>
          <w:szCs w:val="24"/>
        </w:rPr>
        <w:t>ç</w:t>
      </w:r>
      <w:r w:rsidR="00B26FBD" w:rsidRPr="00B26FBD">
        <w:rPr>
          <w:rFonts w:ascii="ArialMT" w:hAnsi="ArialMT" w:cs="ArialMT"/>
          <w:sz w:val="24"/>
          <w:szCs w:val="24"/>
        </w:rPr>
        <w:t>ão de cumprimento de deveres instrumentais á cobrança do tributo.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 xml:space="preserve">O art. 113 do CTN divide a obrigação tributária em principal e acessória. Segundo o parágrafo 1º deste artigo, a obrigação principal surge com a </w:t>
      </w:r>
      <w:r w:rsidRPr="00B26FBD">
        <w:rPr>
          <w:rFonts w:ascii="ArialMT" w:hAnsi="ArialMT" w:cs="ArialMT"/>
          <w:sz w:val="24"/>
          <w:szCs w:val="24"/>
        </w:rPr>
        <w:lastRenderedPageBreak/>
        <w:t>ocorrência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 xml:space="preserve">do fato gerador, tem por objeto o pagamento de tributo ou penalidade pecuniária e extingue-se juntamente com o crédito dela decorrente. </w:t>
      </w:r>
    </w:p>
    <w:p w:rsidR="002A7C1E" w:rsidRDefault="002A7C1E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equiparou o CTN à obrigação principal tanto aquela que tenha por objeto o pagamento de uma penalidade pecuniária.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O requisito escolhido pelo código para classificar, portanto, as obrigações tributárias em principal é o caráter pecuniário ou não da exação.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sempre que a cobrança envolva a prestação de dinheiro, será ela considerada obrigação principal, mesmo que não diga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somente respeito à exigibilidade do tributo em si. Ou seja, serão consideradas obrigações principais tanto uma prestação cobrada do sujeito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passivo que se refira à cobrança de tributo, quanto outra que diga respeito à cobrança de penalidade pecuniária (multas) pelo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descumprimento de obrigações tributárias.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Já o parágrafo 2º do art. 113 do CTN, define a obrigação acessória como aquela que decorre da legislação tri</w:t>
      </w:r>
      <w:r w:rsidR="00C224A8">
        <w:rPr>
          <w:rFonts w:ascii="ArialMT" w:hAnsi="ArialMT" w:cs="ArialMT"/>
          <w:sz w:val="24"/>
          <w:szCs w:val="24"/>
        </w:rPr>
        <w:t>b</w:t>
      </w:r>
      <w:r w:rsidRPr="00B26FBD">
        <w:rPr>
          <w:rFonts w:ascii="ArialMT" w:hAnsi="ArialMT" w:cs="ArialMT"/>
          <w:sz w:val="24"/>
          <w:szCs w:val="24"/>
        </w:rPr>
        <w:t>utária e tem por objeto as prestações,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positivas ou negativas, nela previstas no interesse da arrecadação ou da fiscalização dos tributos.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A7C1E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diferentemente da obrigação classificada como principal, a obrigação acessória, também chamada por parte da doutrina como deveres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 xml:space="preserve">instrumentais, tem por objeto uma prestação não-pecuniária, ou seja, um fazer ou não fazer alguma coisa. </w:t>
      </w:r>
    </w:p>
    <w:p w:rsidR="002A7C1E" w:rsidRDefault="002A7C1E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Como exemplos de obrigações acessórias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temos a) prestar declarações, b) emitir notas fiscais, c) escriturar livros contábeis e fiscais, d) guardar documentos, etc.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Acrescenta ainda o parágrafo 3º do artigo 113 do CTN, que a obrigação acessória, pelo simples fato da sua inobservância, converte-se em obrigação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principal relativamente à penalidade pecuniária. Ou seja, se acaso uma obrigação acessória não for observada, o seu descumprimento enseja a aplicação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de uma penalidade pecuniária, normalmente representada por uma multa.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71A9B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1D20">
        <w:rPr>
          <w:rFonts w:ascii="ArialMT" w:hAnsi="ArialMT" w:cs="ArialMT"/>
          <w:b/>
          <w:sz w:val="24"/>
          <w:szCs w:val="24"/>
        </w:rPr>
        <w:t>Está multa, por ter caráter pecuniário - é representada por uma quantia em dinheiro</w:t>
      </w:r>
      <w:r w:rsidRPr="00B26FBD">
        <w:rPr>
          <w:rFonts w:ascii="ArialMT" w:hAnsi="ArialMT" w:cs="ArialMT"/>
          <w:sz w:val="24"/>
          <w:szCs w:val="24"/>
        </w:rPr>
        <w:t xml:space="preserve"> - torna-se uma obrigação principal, já que, conforme vimos, toda a obrigação tributária de cunho patrimonial é classificada como principal, segundo o parágrafo 1º do art. 113 do CTN.</w:t>
      </w:r>
    </w:p>
    <w:p w:rsidR="00577F90" w:rsidRDefault="00577F90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71A9B" w:rsidRDefault="00171A9B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171A9B" w:rsidRPr="00797E37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797E37">
        <w:rPr>
          <w:rFonts w:ascii="ArialMT" w:hAnsi="ArialMT" w:cs="ArialMT"/>
          <w:b/>
          <w:sz w:val="24"/>
          <w:szCs w:val="24"/>
        </w:rPr>
        <w:t>Conclusão:</w:t>
      </w:r>
    </w:p>
    <w:p w:rsid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D139B2">
        <w:rPr>
          <w:rFonts w:ascii="Arial" w:hAnsi="Arial" w:cs="Arial"/>
          <w:sz w:val="24"/>
        </w:rPr>
        <w:t>Por todo o exposto, opino nos seguintes termos:</w:t>
      </w:r>
    </w:p>
    <w:p w:rsidR="00171A9B" w:rsidRDefault="00171A9B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MT" w:hAnsi="ArialMT" w:cs="ArialMT"/>
          <w:sz w:val="24"/>
          <w:szCs w:val="24"/>
        </w:rPr>
        <w:t xml:space="preserve">A ação cabível é de </w:t>
      </w:r>
      <w:r w:rsidRPr="0061103B">
        <w:rPr>
          <w:rFonts w:ascii="ArialMT" w:hAnsi="ArialMT" w:cs="ArialMT"/>
          <w:sz w:val="24"/>
          <w:szCs w:val="24"/>
        </w:rPr>
        <w:t xml:space="preserve">Ação Declaratória </w:t>
      </w:r>
      <w:r>
        <w:rPr>
          <w:rFonts w:ascii="ArialMT" w:hAnsi="ArialMT" w:cs="ArialMT"/>
          <w:sz w:val="24"/>
          <w:szCs w:val="24"/>
        </w:rPr>
        <w:t>d</w:t>
      </w:r>
      <w:r w:rsidRPr="0061103B">
        <w:rPr>
          <w:rFonts w:ascii="ArialMT" w:hAnsi="ArialMT" w:cs="ArialMT"/>
          <w:sz w:val="24"/>
          <w:szCs w:val="24"/>
        </w:rPr>
        <w:t xml:space="preserve">e Inexistência </w:t>
      </w:r>
      <w:r>
        <w:rPr>
          <w:rFonts w:ascii="ArialMT" w:hAnsi="ArialMT" w:cs="ArialMT"/>
          <w:sz w:val="24"/>
          <w:szCs w:val="24"/>
        </w:rPr>
        <w:t>d</w:t>
      </w:r>
      <w:r w:rsidRPr="0061103B">
        <w:rPr>
          <w:rFonts w:ascii="ArialMT" w:hAnsi="ArialMT" w:cs="ArialMT"/>
          <w:sz w:val="24"/>
          <w:szCs w:val="24"/>
        </w:rPr>
        <w:t>e Relação Jurídica Tributária</w:t>
      </w:r>
      <w:r>
        <w:rPr>
          <w:rFonts w:ascii="ArialMT" w:hAnsi="ArialMT" w:cs="ArialMT"/>
          <w:sz w:val="24"/>
          <w:szCs w:val="24"/>
        </w:rPr>
        <w:t xml:space="preserve">, com pedido de tutela antecipada para suspensão da exigibilidade  </w:t>
      </w:r>
      <w:r>
        <w:rPr>
          <w:rFonts w:ascii="ArialMT" w:hAnsi="ArialMT" w:cs="ArialMT"/>
          <w:sz w:val="24"/>
          <w:szCs w:val="24"/>
        </w:rPr>
        <w:lastRenderedPageBreak/>
        <w:t xml:space="preserve">do crédito tributário, dado que ainda não ocorreu a </w:t>
      </w:r>
      <w:r w:rsidRPr="00CB51C5">
        <w:rPr>
          <w:rFonts w:ascii="Arial" w:hAnsi="Arial" w:cs="Arial"/>
          <w:sz w:val="24"/>
        </w:rPr>
        <w:t>constituição do crédito tributário</w:t>
      </w:r>
      <w:r>
        <w:rPr>
          <w:rFonts w:ascii="Arial" w:hAnsi="Arial" w:cs="Arial"/>
          <w:sz w:val="24"/>
        </w:rPr>
        <w:t>.</w:t>
      </w:r>
    </w:p>
    <w:p w:rsidR="00797E37" w:rsidRDefault="00797E3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577F90" w:rsidRDefault="00577F90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cobrança de multa em percentual de </w:t>
      </w:r>
      <w:r w:rsidR="004C37B4">
        <w:rPr>
          <w:rFonts w:ascii="ArialMT" w:hAnsi="ArialMT" w:cs="ArialMT"/>
          <w:sz w:val="24"/>
          <w:szCs w:val="24"/>
        </w:rPr>
        <w:t>4</w:t>
      </w:r>
      <w:r>
        <w:rPr>
          <w:rFonts w:ascii="ArialMT" w:hAnsi="ArialMT" w:cs="ArialMT"/>
          <w:sz w:val="24"/>
          <w:szCs w:val="24"/>
        </w:rPr>
        <w:t xml:space="preserve">5% é incabível, dado que o CTN, autoriza </w:t>
      </w:r>
      <w:r w:rsidR="005378FE">
        <w:rPr>
          <w:rFonts w:ascii="ArialMT" w:hAnsi="ArialMT" w:cs="ArialMT"/>
          <w:sz w:val="24"/>
          <w:szCs w:val="24"/>
        </w:rPr>
        <w:t xml:space="preserve">expressamente </w:t>
      </w:r>
      <w:r>
        <w:rPr>
          <w:rFonts w:ascii="ArialMT" w:hAnsi="ArialMT" w:cs="ArialMT"/>
          <w:sz w:val="24"/>
          <w:szCs w:val="24"/>
        </w:rPr>
        <w:t>a aplicação de multa</w:t>
      </w:r>
      <w:r w:rsidR="005378FE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 xml:space="preserve"> tão somente em valores.</w:t>
      </w:r>
    </w:p>
    <w:p w:rsidR="00577F90" w:rsidRDefault="00577F90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1103B" w:rsidRP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03B">
        <w:rPr>
          <w:rFonts w:ascii="ArialMT" w:hAnsi="ArialMT" w:cs="ArialMT"/>
          <w:sz w:val="24"/>
          <w:szCs w:val="24"/>
        </w:rPr>
        <w:t xml:space="preserve">Com </w:t>
      </w:r>
      <w:r>
        <w:rPr>
          <w:rFonts w:ascii="ArialMT" w:hAnsi="ArialMT" w:cs="ArialMT"/>
          <w:sz w:val="24"/>
          <w:szCs w:val="24"/>
        </w:rPr>
        <w:t>fundamentos:</w:t>
      </w:r>
    </w:p>
    <w:p w:rsidR="0061103B" w:rsidRDefault="0061103B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61103B">
        <w:rPr>
          <w:rFonts w:ascii="ArialMT" w:hAnsi="ArialMT" w:cs="ArialMT"/>
          <w:sz w:val="24"/>
          <w:szCs w:val="24"/>
        </w:rPr>
        <w:t>Artigo</w:t>
      </w:r>
      <w:r>
        <w:rPr>
          <w:rFonts w:ascii="ArialMT" w:hAnsi="ArialMT" w:cs="ArialMT"/>
          <w:sz w:val="24"/>
          <w:szCs w:val="24"/>
        </w:rPr>
        <w:t xml:space="preserve"> 18 do Novo</w:t>
      </w:r>
      <w:r w:rsidRPr="0061103B">
        <w:rPr>
          <w:rFonts w:ascii="ArialMT" w:hAnsi="ArialMT" w:cs="ArialMT"/>
          <w:sz w:val="24"/>
          <w:szCs w:val="24"/>
        </w:rPr>
        <w:t xml:space="preserve"> Código de Processo Civil</w:t>
      </w:r>
      <w:r>
        <w:rPr>
          <w:rFonts w:ascii="ArialMT" w:hAnsi="ArialMT" w:cs="ArialMT"/>
          <w:sz w:val="24"/>
          <w:szCs w:val="24"/>
        </w:rPr>
        <w:t xml:space="preserve"> c/c art. 151 do CTN.</w:t>
      </w:r>
    </w:p>
    <w:p w:rsidR="006A06F6" w:rsidRDefault="006A06F6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A06F6" w:rsidRDefault="006A06F6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sentença trará como efeitos a não aplicação e a desnecessidade de pagamento da alíquota</w:t>
      </w:r>
      <w:r w:rsidR="008856B3">
        <w:rPr>
          <w:rFonts w:ascii="ArialMT" w:hAnsi="ArialMT" w:cs="ArialMT"/>
          <w:sz w:val="24"/>
          <w:szCs w:val="24"/>
        </w:rPr>
        <w:t xml:space="preserve"> de 45% sobre o valor declarado</w:t>
      </w:r>
      <w:r w:rsidR="001C452D">
        <w:rPr>
          <w:rFonts w:ascii="ArialMT" w:hAnsi="ArialMT" w:cs="ArialMT"/>
          <w:sz w:val="24"/>
          <w:szCs w:val="24"/>
        </w:rPr>
        <w:t xml:space="preserve"> e a estipulação do valor correto em relação </w:t>
      </w:r>
      <w:r w:rsidR="00350F96">
        <w:rPr>
          <w:rFonts w:ascii="ArialMT" w:hAnsi="ArialMT" w:cs="ArialMT"/>
          <w:sz w:val="24"/>
          <w:szCs w:val="24"/>
        </w:rPr>
        <w:t>à</w:t>
      </w:r>
      <w:r w:rsidR="001C452D">
        <w:rPr>
          <w:rFonts w:ascii="ArialMT" w:hAnsi="ArialMT" w:cs="ArialMT"/>
          <w:sz w:val="24"/>
          <w:szCs w:val="24"/>
        </w:rPr>
        <w:t xml:space="preserve"> multa devida.</w:t>
      </w: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139B2">
        <w:rPr>
          <w:rFonts w:ascii="ArialMT" w:hAnsi="ArialMT" w:cs="ArialMT"/>
          <w:sz w:val="24"/>
          <w:szCs w:val="24"/>
        </w:rPr>
        <w:t>É o parecer</w:t>
      </w:r>
      <w:r>
        <w:rPr>
          <w:rFonts w:ascii="ArialMT" w:hAnsi="ArialMT" w:cs="ArialMT"/>
          <w:sz w:val="24"/>
          <w:szCs w:val="24"/>
        </w:rPr>
        <w:t>.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139B2">
        <w:rPr>
          <w:rFonts w:ascii="ArialMT" w:hAnsi="ArialMT" w:cs="ArialMT"/>
          <w:sz w:val="24"/>
          <w:szCs w:val="24"/>
        </w:rPr>
        <w:t xml:space="preserve"> 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Campo Grande-MS</w:t>
      </w:r>
      <w:r w:rsidRPr="00D139B2"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MT" w:hAnsi="ArialMT" w:cs="ArialMT"/>
          <w:sz w:val="24"/>
          <w:szCs w:val="24"/>
        </w:rPr>
        <w:t>06</w:t>
      </w:r>
      <w:r w:rsidRPr="00D139B2">
        <w:rPr>
          <w:rFonts w:ascii="ArialMT" w:hAnsi="ArialMT" w:cs="ArialMT"/>
          <w:sz w:val="24"/>
          <w:szCs w:val="24"/>
        </w:rPr>
        <w:t xml:space="preserve"> de </w:t>
      </w:r>
      <w:r>
        <w:rPr>
          <w:rFonts w:ascii="ArialMT" w:hAnsi="ArialMT" w:cs="ArialMT"/>
          <w:sz w:val="24"/>
          <w:szCs w:val="24"/>
        </w:rPr>
        <w:t>Abril</w:t>
      </w:r>
      <w:r w:rsidRPr="00D139B2">
        <w:rPr>
          <w:rFonts w:ascii="ArialMT" w:hAnsi="ArialMT" w:cs="ArialMT"/>
          <w:sz w:val="24"/>
          <w:szCs w:val="24"/>
        </w:rPr>
        <w:t xml:space="preserve"> de 20</w:t>
      </w:r>
      <w:r>
        <w:rPr>
          <w:rFonts w:ascii="ArialMT" w:hAnsi="ArialMT" w:cs="ArialMT"/>
          <w:sz w:val="24"/>
          <w:szCs w:val="24"/>
        </w:rPr>
        <w:t>17</w:t>
      </w:r>
      <w:r w:rsidRPr="00D139B2">
        <w:rPr>
          <w:rFonts w:ascii="ArialMT" w:hAnsi="ArialMT" w:cs="ArialMT"/>
          <w:sz w:val="24"/>
          <w:szCs w:val="24"/>
        </w:rPr>
        <w:t>.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----------------</w:t>
      </w: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</w:t>
      </w:r>
      <w:r w:rsidRPr="00D139B2">
        <w:rPr>
          <w:rFonts w:ascii="ArialMT" w:hAnsi="ArialMT" w:cs="ArialMT"/>
          <w:sz w:val="24"/>
          <w:szCs w:val="24"/>
        </w:rPr>
        <w:t>OAB/</w:t>
      </w:r>
      <w:r>
        <w:rPr>
          <w:rFonts w:ascii="ArialMT" w:hAnsi="ArialMT" w:cs="ArialMT"/>
          <w:sz w:val="24"/>
          <w:szCs w:val="24"/>
        </w:rPr>
        <w:t xml:space="preserve">MS 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967F48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5. Quanto à exceção de pré-executividade, pergunta-se: (a) Em que consiste a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exceção de pré-executividade? (b) Qual seu fundamento legal? (c) Quem pode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oferecê-la? Qual o momento adequado para sua apresentação? (d) Quais matérias são passíveis de arguição? A oposição de exceção de pré-executividade tem o condão de suspender o trâmite do processo de execução? (Vide anexos III e IV).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E6418" w:rsidRPr="00AD72FA" w:rsidRDefault="00AD72FA" w:rsidP="00AD72F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72FA">
        <w:rPr>
          <w:rFonts w:ascii="ArialMT" w:hAnsi="ArialMT" w:cs="ArialMT"/>
          <w:sz w:val="24"/>
          <w:szCs w:val="24"/>
        </w:rPr>
        <w:t>A Exceção de Pré-Executividade consiste em instrumento de impugnação à execução, normalmente utilizado quando a defesa é tão evidente</w:t>
      </w:r>
      <w:r>
        <w:rPr>
          <w:rFonts w:ascii="ArialMT" w:hAnsi="ArialMT" w:cs="ArialMT"/>
          <w:sz w:val="24"/>
          <w:szCs w:val="24"/>
        </w:rPr>
        <w:t xml:space="preserve"> </w:t>
      </w:r>
      <w:r w:rsidRPr="00AD72FA">
        <w:rPr>
          <w:rFonts w:ascii="ArialMT" w:hAnsi="ArialMT" w:cs="ArialMT"/>
          <w:sz w:val="24"/>
          <w:szCs w:val="24"/>
        </w:rPr>
        <w:t>que não se justifica a sujeição do executado aos requisitos formais dos embargos, sendo manifesta a injustiça do prosseguimento da execução.</w:t>
      </w:r>
    </w:p>
    <w:p w:rsidR="009B040C" w:rsidRDefault="009B040C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>Admite-se seu manejo em execução fiscal quando a matéria invocada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for suscetível de conhecimento de ofício pelo juiz, como condições da ação,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pressupostos processuais, prescrição e decadência; e não demande dilação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 xml:space="preserve">probatória. </w:t>
      </w: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 xml:space="preserve">Nesse sentido, </w:t>
      </w:r>
      <w:r>
        <w:rPr>
          <w:rFonts w:ascii="ArialMT" w:hAnsi="ArialMT" w:cs="ArialMT"/>
          <w:sz w:val="24"/>
          <w:szCs w:val="24"/>
        </w:rPr>
        <w:t>a</w:t>
      </w:r>
      <w:r w:rsidRPr="007A17E5">
        <w:rPr>
          <w:rFonts w:ascii="ArialMT" w:hAnsi="ArialMT" w:cs="ArialMT"/>
          <w:sz w:val="24"/>
          <w:szCs w:val="24"/>
        </w:rPr>
        <w:t xml:space="preserve"> Súmula nº 393 do STJ: “A exceção de pré</w:t>
      </w:r>
      <w:r>
        <w:rPr>
          <w:rFonts w:ascii="ArialMT" w:hAnsi="ArialMT" w:cs="ArialMT"/>
          <w:sz w:val="24"/>
          <w:szCs w:val="24"/>
        </w:rPr>
        <w:t>-</w:t>
      </w:r>
      <w:r w:rsidRPr="007A17E5">
        <w:rPr>
          <w:rFonts w:ascii="ArialMT" w:hAnsi="ArialMT" w:cs="ArialMT"/>
          <w:sz w:val="24"/>
          <w:szCs w:val="24"/>
        </w:rPr>
        <w:t>executividade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é admissível na execução fiscal relativamente às matérias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conhecíveis de ofício que não demandem dilação probatória.”.</w:t>
      </w:r>
    </w:p>
    <w:p w:rsidR="007A17E5" w:rsidRP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7A17E5" w:rsidRP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>Além disso, por tratar-se de técnica de cognição sumária, que não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analisa o mérito de forma plena, com todos os instrumentos postos a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disposição das partes como ocorre no processo de conhecimento dos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embargos à execução, a decisão proveniente do aludido incidente não tem 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condão de fazer coisa julgada material.</w:t>
      </w:r>
    </w:p>
    <w:p w:rsidR="007A17E5" w:rsidRPr="007A17E5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B040C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</w:t>
      </w:r>
      <w:r w:rsidRPr="007A17E5">
        <w:rPr>
          <w:rFonts w:ascii="ArialMT" w:hAnsi="ArialMT" w:cs="ArialMT"/>
          <w:sz w:val="24"/>
          <w:szCs w:val="24"/>
        </w:rPr>
        <w:t xml:space="preserve"> defesa apresentada por meio de exceção de pré</w:t>
      </w:r>
      <w:r>
        <w:rPr>
          <w:rFonts w:ascii="ArialMT" w:hAnsi="ArialMT" w:cs="ArialMT"/>
          <w:sz w:val="24"/>
          <w:szCs w:val="24"/>
        </w:rPr>
        <w:t>-</w:t>
      </w:r>
      <w:r w:rsidRPr="007A17E5">
        <w:rPr>
          <w:rFonts w:ascii="ArialMT" w:hAnsi="ArialMT" w:cs="ArialMT"/>
          <w:sz w:val="24"/>
          <w:szCs w:val="24"/>
        </w:rPr>
        <w:t>executividade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rejeitada, poderá ser rediscutida em embargos à execução.</w:t>
      </w:r>
    </w:p>
    <w:p w:rsidR="007A17E5" w:rsidRPr="007A17E5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A exceção de pré-executividade não encontra alicerces no ordenamento jurídico brasileiro, sendo, pois, uma construção doutrinária e jurisprudencial. </w:t>
      </w: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32276" w:rsidRDefault="00132276" w:rsidP="0013227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Um</w:t>
      </w:r>
      <w:r w:rsidRPr="00AD37CA">
        <w:rPr>
          <w:rFonts w:ascii="ArialMT" w:hAnsi="ArialMT" w:cs="ArialMT"/>
          <w:sz w:val="24"/>
          <w:szCs w:val="24"/>
        </w:rPr>
        <w:t xml:space="preserve"> dos pilares em que se assenta o instituto da exceção de pré-executividade é a desnecessidade de constrição patrimonial para atacar um título executivo. 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32276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Caso escape ao exame do magistrado a presença de vício que macule a execução e impeça a formação de uma relação processual válida, considerada a violência a que é submetido o executado pela realização dos atos executórios, no caso injustos e ilegais, porquanto sem título hábil, tem admitido a doutrina e a jurisprudência a interposição de Exceção de pré-executividade a fim de que o devedor possa truncar essa execução ilegal, sem submeter-se à violência da constrição. 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Sales (2007), ao estudar o assunto, estabeleceu que “é exceção, posto tratar-se de instrumento de defesa de direito material, que </w:t>
      </w:r>
      <w:r w:rsidRPr="00132276">
        <w:rPr>
          <w:rFonts w:ascii="ArialMT" w:hAnsi="ArialMT" w:cs="ArialMT"/>
          <w:b/>
          <w:sz w:val="24"/>
          <w:szCs w:val="24"/>
        </w:rPr>
        <w:t>contém temas que o juiz somente pode examinar a requerimento da parte.</w:t>
      </w:r>
      <w:r w:rsidRPr="00AD37CA">
        <w:rPr>
          <w:rFonts w:ascii="ArialMT" w:hAnsi="ArialMT" w:cs="ArialMT"/>
          <w:sz w:val="24"/>
          <w:szCs w:val="24"/>
        </w:rPr>
        <w:t xml:space="preserve"> As matérias argüíveis por meio de exceção seriam o pagamento ou qualquer outra forma de extinção da obrigação”. A objeção de pré-executividade, por outro lado, só teria cabimento “quando a matéria a ser alegada fosse de ordem pública”.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B040C" w:rsidRPr="00967F48" w:rsidRDefault="009B040C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6. Considerando os arts. 914 e 919 do CPC/15, bem como as disposições do art. 16 da Lei de Execuções Fiscais (Lei n. 6.830/80), pergunta-se: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A garantia do juízo é requisito indispensável ao recebimento dos embargos à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execução fiscal? (Vide anexo V). Se positivo, essa garantia deve ser total? (Vide anexo VI).</w:t>
      </w:r>
    </w:p>
    <w:p w:rsidR="0065418E" w:rsidRDefault="000E6418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55C8A" w:rsidRDefault="00055C8A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0454C" w:rsidRPr="00350B2B" w:rsidRDefault="00A0454C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50B2B">
        <w:rPr>
          <w:rFonts w:ascii="Arial" w:hAnsi="Arial" w:cs="Arial"/>
          <w:bCs/>
        </w:rPr>
        <w:t>O STF, tem entendimento sumulado vinculante de número 28, sobre o tema:</w:t>
      </w:r>
    </w:p>
    <w:p w:rsidR="00A0454C" w:rsidRPr="009836C5" w:rsidRDefault="0065418E" w:rsidP="00350B2B">
      <w:pPr>
        <w:pStyle w:val="NormalWeb"/>
        <w:jc w:val="both"/>
        <w:rPr>
          <w:rFonts w:asciiTheme="minorHAnsi" w:hAnsiTheme="minorHAnsi" w:cs="Arial"/>
          <w:sz w:val="22"/>
        </w:rPr>
      </w:pPr>
      <w:r w:rsidRPr="009836C5">
        <w:rPr>
          <w:rFonts w:asciiTheme="minorHAnsi" w:hAnsiTheme="minorHAnsi" w:cs="Arial"/>
          <w:sz w:val="22"/>
        </w:rPr>
        <w:t>“</w:t>
      </w:r>
      <w:r w:rsidR="00A0454C" w:rsidRPr="009836C5">
        <w:rPr>
          <w:rFonts w:asciiTheme="minorHAnsi" w:hAnsiTheme="minorHAnsi" w:cs="Arial"/>
          <w:sz w:val="22"/>
        </w:rPr>
        <w:t>É inconstitucional a exigência de depósito prévio como requisito de admissibilidade de ação judicial na qual se pretenda discutir a exigibilidade de crédito tributário.</w:t>
      </w:r>
      <w:r w:rsidRPr="009836C5">
        <w:rPr>
          <w:rFonts w:asciiTheme="minorHAnsi" w:hAnsiTheme="minorHAnsi" w:cs="Arial"/>
          <w:sz w:val="22"/>
        </w:rPr>
        <w:t>”</w:t>
      </w:r>
    </w:p>
    <w:p w:rsidR="00190F2A" w:rsidRPr="00190F2A" w:rsidRDefault="00190F2A" w:rsidP="00190F2A">
      <w:pPr>
        <w:pStyle w:val="NormalWeb"/>
        <w:rPr>
          <w:rFonts w:ascii="Arial" w:hAnsi="Arial" w:cs="Arial"/>
          <w:bCs/>
        </w:rPr>
      </w:pPr>
      <w:r w:rsidRPr="00190F2A">
        <w:rPr>
          <w:rFonts w:ascii="Arial" w:hAnsi="Arial" w:cs="Arial"/>
        </w:rPr>
        <w:t xml:space="preserve">Nessa mesma linha a </w:t>
      </w:r>
      <w:r w:rsidRPr="00190F2A">
        <w:rPr>
          <w:rFonts w:ascii="Arial" w:hAnsi="Arial" w:cs="Arial"/>
          <w:bCs/>
        </w:rPr>
        <w:t>Súmula Vinculante 21:</w:t>
      </w:r>
    </w:p>
    <w:p w:rsidR="00190F2A" w:rsidRPr="009836C5" w:rsidRDefault="00335D9D" w:rsidP="00916B9C">
      <w:pPr>
        <w:pStyle w:val="NormalWeb"/>
        <w:jc w:val="both"/>
        <w:rPr>
          <w:rFonts w:asciiTheme="minorHAnsi" w:hAnsiTheme="minorHAnsi" w:cs="Arial"/>
          <w:sz w:val="22"/>
        </w:rPr>
      </w:pPr>
      <w:r w:rsidRPr="009836C5">
        <w:rPr>
          <w:rFonts w:asciiTheme="minorHAnsi" w:hAnsiTheme="minorHAnsi" w:cs="Arial"/>
          <w:sz w:val="22"/>
        </w:rPr>
        <w:t>“</w:t>
      </w:r>
      <w:r w:rsidR="00190F2A" w:rsidRPr="009836C5">
        <w:rPr>
          <w:rFonts w:asciiTheme="minorHAnsi" w:hAnsiTheme="minorHAnsi" w:cs="Arial"/>
          <w:sz w:val="22"/>
        </w:rPr>
        <w:t>É inconstitucional a exigência de depósito ou arrolamento prévios de dinheiro ou bens para admissibilidade de recurso administrativo.</w:t>
      </w:r>
      <w:r w:rsidRPr="009836C5">
        <w:rPr>
          <w:rFonts w:asciiTheme="minorHAnsi" w:hAnsiTheme="minorHAnsi" w:cs="Arial"/>
          <w:sz w:val="22"/>
        </w:rPr>
        <w:t>”</w:t>
      </w:r>
    </w:p>
    <w:p w:rsidR="009836C5" w:rsidRPr="00AF24DE" w:rsidRDefault="00F34B6A" w:rsidP="009836C5">
      <w:pPr>
        <w:pStyle w:val="NormalWeb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 j</w:t>
      </w:r>
      <w:r w:rsidR="009836C5" w:rsidRPr="00AF24DE">
        <w:rPr>
          <w:rFonts w:ascii="Arial" w:hAnsi="Arial" w:cs="Arial"/>
          <w:bCs/>
          <w:szCs w:val="22"/>
        </w:rPr>
        <w:t xml:space="preserve">urisprudência posterior </w:t>
      </w:r>
      <w:r>
        <w:rPr>
          <w:rFonts w:ascii="Arial" w:hAnsi="Arial" w:cs="Arial"/>
          <w:bCs/>
          <w:szCs w:val="22"/>
        </w:rPr>
        <w:t xml:space="preserve">da Corte Máxima </w:t>
      </w:r>
      <w:r w:rsidR="009836C5" w:rsidRPr="00AF24DE">
        <w:rPr>
          <w:rFonts w:ascii="Arial" w:hAnsi="Arial" w:cs="Arial"/>
          <w:bCs/>
          <w:szCs w:val="22"/>
        </w:rPr>
        <w:t>ao</w:t>
      </w:r>
      <w:r>
        <w:rPr>
          <w:rFonts w:ascii="Arial" w:hAnsi="Arial" w:cs="Arial"/>
          <w:bCs/>
          <w:szCs w:val="22"/>
        </w:rPr>
        <w:t>s</w:t>
      </w:r>
      <w:r w:rsidR="009836C5" w:rsidRPr="00AF24DE">
        <w:rPr>
          <w:rFonts w:ascii="Arial" w:hAnsi="Arial" w:cs="Arial"/>
          <w:bCs/>
          <w:szCs w:val="22"/>
        </w:rPr>
        <w:t xml:space="preserve"> enunciado</w:t>
      </w:r>
      <w:r>
        <w:rPr>
          <w:rFonts w:ascii="Arial" w:hAnsi="Arial" w:cs="Arial"/>
          <w:bCs/>
          <w:szCs w:val="22"/>
        </w:rPr>
        <w:t>s</w:t>
      </w:r>
      <w:r w:rsidR="00AF24DE">
        <w:rPr>
          <w:rFonts w:ascii="Arial" w:hAnsi="Arial" w:cs="Arial"/>
          <w:bCs/>
          <w:szCs w:val="22"/>
        </w:rPr>
        <w:t xml:space="preserve"> segue</w:t>
      </w:r>
      <w:r>
        <w:rPr>
          <w:rFonts w:ascii="Arial" w:hAnsi="Arial" w:cs="Arial"/>
          <w:bCs/>
          <w:szCs w:val="22"/>
        </w:rPr>
        <w:t>m</w:t>
      </w:r>
      <w:r w:rsidR="00AF24DE">
        <w:rPr>
          <w:rFonts w:ascii="Arial" w:hAnsi="Arial" w:cs="Arial"/>
          <w:bCs/>
          <w:szCs w:val="22"/>
        </w:rPr>
        <w:t xml:space="preserve"> no mesmo sentido: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Style w:val="Forte"/>
          <w:rFonts w:asciiTheme="minorHAnsi" w:hAnsiTheme="minorHAnsi"/>
          <w:sz w:val="22"/>
          <w:szCs w:val="22"/>
        </w:rPr>
        <w:t>Inadmissibilidade da reclamação: garantia do juízo para recebimento dos embargos do devedor 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lastRenderedPageBreak/>
        <w:t xml:space="preserve">"2. No julgamento da </w:t>
      </w:r>
      <w:hyperlink r:id="rId9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ADI 1.074</w:t>
        </w:r>
      </w:hyperlink>
      <w:r w:rsidRPr="009836C5">
        <w:rPr>
          <w:rFonts w:asciiTheme="minorHAnsi" w:hAnsiTheme="minorHAnsi"/>
          <w:sz w:val="22"/>
          <w:szCs w:val="22"/>
        </w:rPr>
        <w:t>, o Supremo Tribunal Federal, com fundamento no princípio da inafastabilidade de jurisdição (art. 5º, XXXV, da CRFB/1988), declarou inconstitucional o art. 19, caput, da Lei nº 8.870/1994, que condicionava o ajuizamento de ações judiciais relativas a débitos para com o INSS ao 'depósito preparatório do valor do mesmo, monetariamente corrigido até a data de efetivação, acrescido dos juros, multa de mora e demais encargos'. O referido precedente é o único que ensejou a PSV 37, que resultou na edição da Súmula Vinculante 28, assim redigida: (...). 3. Por sua vez, a decisão reclamada possui o seguinte teor: 'O § 1º, III do art. 16 da Lei nº 6.830/80, condiciona a admissibilidade dos embargos do Executado à prévia garantia da execução. Assim, intime-se o embargante para, querendo, oferecer garantia à execução, no prazo de 10 (dez) dias. Decorrido o prazo assinalado sem manifestação profícua, voltem-me conclusos.' 4. Assim, ao contrário do que sustenta a inicial, a decisão reclamada não está propriamente a exigir depósito, e sim garantia da execução, gênero do qual o depósito é apenas uma espécie, como se vê do art. 9º da Lei nº 6.830/1980 e do art. 655 do CPC. Eventual rejeição de bens ofertados, por iliquidez, não pode ser equiparada à exigência de depósito prévio, e pode ser objeto de questionamento na sede própria, valendo observar que reclamação não é sucedâneo recursal." (</w:t>
      </w:r>
      <w:hyperlink r:id="rId10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Rcl 20617 AgR</w:t>
        </w:r>
      </w:hyperlink>
      <w:r w:rsidRPr="009836C5">
        <w:rPr>
          <w:rFonts w:asciiTheme="minorHAnsi" w:hAnsiTheme="minorHAnsi"/>
          <w:sz w:val="22"/>
          <w:szCs w:val="22"/>
        </w:rPr>
        <w:t>, Relator Ministro Roberto Barroso, Primeira Turma, julgamento em 2.2.2016, DJe de 24.2.2016)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t xml:space="preserve">"Nesta reclamação, de outra banda, o ora agravante se insurge contra decisão que determinou sua inclusão no polo passivo de execução fiscal. Questiona a exigência de garantia do juízo para o ajuizamento de embargos à execução, conforme previsão do art. 16, § 1º, da Lei 6.830/1980, que é coisa diversa daquela versada na Súmula Vinculante 28. O art. 9º, do mesmo diploma legal, prevê as seguintes formas de garantia do juízo: (...). O que pretende o reclamante, em última análise, é a declaração de inconstitucionalidade do art. 16, § 1º, da Lei 6.830/1980, providência inviável na estreita via da reclamação. Nesse mesmo sentido, menciono: </w:t>
      </w:r>
      <w:hyperlink r:id="rId11" w:tgtFrame="_blank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Rcl 11.761/ES</w:t>
        </w:r>
      </w:hyperlink>
      <w:r w:rsidRPr="009836C5">
        <w:rPr>
          <w:rFonts w:asciiTheme="minorHAnsi" w:hAnsiTheme="minorHAnsi"/>
          <w:sz w:val="22"/>
          <w:szCs w:val="22"/>
        </w:rPr>
        <w:t xml:space="preserve">, Rel. Min. Rosa Weber e </w:t>
      </w:r>
      <w:hyperlink r:id="rId12" w:tgtFrame="_blank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Rcl. 14.239/RS</w:t>
        </w:r>
      </w:hyperlink>
      <w:r w:rsidRPr="009836C5">
        <w:rPr>
          <w:rFonts w:asciiTheme="minorHAnsi" w:hAnsiTheme="minorHAnsi"/>
          <w:sz w:val="22"/>
          <w:szCs w:val="22"/>
        </w:rPr>
        <w:t>, Rel. Min. Joaquim Barbosa. (</w:t>
      </w:r>
      <w:hyperlink r:id="rId13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Rcl 19724 AgR</w:t>
        </w:r>
      </w:hyperlink>
      <w:r w:rsidRPr="009836C5">
        <w:rPr>
          <w:rFonts w:asciiTheme="minorHAnsi" w:hAnsiTheme="minorHAnsi"/>
          <w:sz w:val="22"/>
          <w:szCs w:val="22"/>
        </w:rPr>
        <w:t>, Relator Ministro Luiz Fux, Primeira Turma, julgamento em 17.3.2015, DJe de 7.4.2015)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Style w:val="Forte"/>
          <w:rFonts w:asciiTheme="minorHAnsi" w:hAnsiTheme="minorHAnsi"/>
          <w:sz w:val="22"/>
          <w:szCs w:val="22"/>
        </w:rPr>
        <w:t>Ação de depósito fiscal: medida equivalente a exigência de depósito prévio como requisito de admissibilidade de ação judicial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t xml:space="preserve">"No mérito, a Corte explicou que a lei: a) cria a ação de depósito fiscal, com o escopo primordial de coagir, sob pena de prisão, o devedor a depositar o valor referente à dívida na contestação, ou após a sentença, no prazo de 24 horas; b) chancela a possibilidade de submeter o devedor a sofrer processo judicial de depósito, sem que tenha ocorrido a finalização do processo administrativo fiscal; e c) dispõe sobre a proibição de, em se tratando de coisas fungíveis, seguir-se o disposto sobre o mútuo (CC/1916, art. 1280; CC/2002, art. 645), com a submissão do devedor a regime mais gravoso de pagamento, em face dos postulados da proporcionalidade, do limite do direito de propriedade e do devido processo legal. (...) É corolário do princípio do devido processo legal que aos litigantes sejam assegurados o contraditório e a ampla defesa, com os meios e recursos a eles inerentes. O postulado também se aplica aos processos que contenham relação jurídico-tributária, razão pela qual aquela medida vulnera a garantia do contribuinte ao devido processo legal. Nesse sentido, determinar que a contestação seja apresentada com o depósito do numerário sob pena de revelia equivale a exigir depósito prévio como requisito de admissibilidade de ação judicial, o que é manifestamente proibido pela Suprema Corte, nos termos da Súmula Vinculante 28." (ADI 1055, Relator Ministro Gilmar Mendes, Tribunal Pleno, julgamento em 15.12.2016, </w:t>
      </w:r>
      <w:hyperlink r:id="rId14" w:tgtFrame="_blank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Informativo 851</w:t>
        </w:r>
      </w:hyperlink>
      <w:r w:rsidRPr="009836C5">
        <w:rPr>
          <w:rFonts w:asciiTheme="minorHAnsi" w:hAnsiTheme="minorHAnsi"/>
          <w:sz w:val="22"/>
          <w:szCs w:val="22"/>
        </w:rPr>
        <w:t>)</w:t>
      </w:r>
    </w:p>
    <w:p w:rsidR="00335D9D" w:rsidRPr="00916B9C" w:rsidRDefault="00335D9D" w:rsidP="00916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>b) Os embargos à execução fiscal têm efeito suspensivo? Caso afirmativo, em que circunstâncias? Responder a pergunta analisando criticamente os anexos VII, VIII e IX.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52FFE" w:rsidRPr="002763A4" w:rsidRDefault="00152FFE" w:rsidP="00152FFE">
      <w:pPr>
        <w:pStyle w:val="NormalWeb"/>
        <w:jc w:val="both"/>
        <w:rPr>
          <w:rFonts w:ascii="Arial" w:hAnsi="Arial" w:cs="Arial"/>
          <w:sz w:val="32"/>
        </w:rPr>
      </w:pPr>
      <w:r w:rsidRPr="002763A4">
        <w:rPr>
          <w:rFonts w:ascii="Arial" w:hAnsi="Arial" w:cs="Arial"/>
          <w:szCs w:val="20"/>
        </w:rPr>
        <w:t>O CPC</w:t>
      </w:r>
      <w:r w:rsidR="002763A4">
        <w:rPr>
          <w:rFonts w:ascii="Arial" w:hAnsi="Arial" w:cs="Arial"/>
          <w:szCs w:val="20"/>
        </w:rPr>
        <w:t>/2015</w:t>
      </w:r>
      <w:r w:rsidRPr="002763A4">
        <w:rPr>
          <w:rFonts w:ascii="Arial" w:hAnsi="Arial" w:cs="Arial"/>
          <w:szCs w:val="20"/>
        </w:rPr>
        <w:t xml:space="preserve"> manteve em seu artigo 525, §</w:t>
      </w:r>
      <w:r w:rsidR="002763A4">
        <w:rPr>
          <w:rFonts w:ascii="Arial" w:hAnsi="Arial" w:cs="Arial"/>
          <w:szCs w:val="20"/>
        </w:rPr>
        <w:t xml:space="preserve"> </w:t>
      </w:r>
      <w:r w:rsidRPr="002763A4">
        <w:rPr>
          <w:rFonts w:ascii="Arial" w:hAnsi="Arial" w:cs="Arial"/>
          <w:szCs w:val="20"/>
        </w:rPr>
        <w:t xml:space="preserve">6º a alteração proposta </w:t>
      </w:r>
      <w:r w:rsidR="002763A4">
        <w:rPr>
          <w:rFonts w:ascii="Arial" w:hAnsi="Arial" w:cs="Arial"/>
          <w:szCs w:val="20"/>
        </w:rPr>
        <w:t>pe</w:t>
      </w:r>
      <w:r w:rsidRPr="002763A4">
        <w:rPr>
          <w:rFonts w:ascii="Arial" w:hAnsi="Arial" w:cs="Arial"/>
          <w:szCs w:val="20"/>
        </w:rPr>
        <w:t xml:space="preserve">la </w:t>
      </w:r>
      <w:hyperlink r:id="rId15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lei 11.382/06</w:t>
        </w:r>
      </w:hyperlink>
      <w:r w:rsidRPr="002763A4">
        <w:rPr>
          <w:rFonts w:ascii="Arial" w:hAnsi="Arial" w:cs="Arial"/>
          <w:szCs w:val="20"/>
        </w:rPr>
        <w:t xml:space="preserve"> que incluiu o art. 739-A no </w:t>
      </w:r>
      <w:hyperlink r:id="rId16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CPC/73</w:t>
        </w:r>
      </w:hyperlink>
      <w:r w:rsidRPr="002763A4">
        <w:rPr>
          <w:rFonts w:ascii="Arial" w:hAnsi="Arial" w:cs="Arial"/>
          <w:szCs w:val="20"/>
        </w:rPr>
        <w:t>.</w:t>
      </w:r>
    </w:p>
    <w:p w:rsidR="00DB1F0F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2763A4">
        <w:rPr>
          <w:rFonts w:ascii="Arial" w:hAnsi="Arial" w:cs="Arial"/>
          <w:szCs w:val="20"/>
        </w:rPr>
        <w:t xml:space="preserve">O referido artigo 739-A alterou o disposto no CPC/73 e passou a indicar que os embargos à execução opostos pelo devedor não possuiriam, em regra, efeito suspensivo, sendo que caberia ao juiz, observando o </w:t>
      </w:r>
      <w:r w:rsidRPr="002763A4">
        <w:rPr>
          <w:rStyle w:val="nfase"/>
          <w:rFonts w:ascii="Arial" w:hAnsi="Arial" w:cs="Arial"/>
          <w:szCs w:val="20"/>
        </w:rPr>
        <w:t>fumu boni iuris</w:t>
      </w:r>
      <w:r w:rsidRPr="002763A4">
        <w:rPr>
          <w:rFonts w:ascii="Arial" w:hAnsi="Arial" w:cs="Arial"/>
          <w:szCs w:val="20"/>
        </w:rPr>
        <w:t xml:space="preserve"> e o </w:t>
      </w:r>
      <w:r w:rsidRPr="002763A4">
        <w:rPr>
          <w:rStyle w:val="nfase"/>
          <w:rFonts w:ascii="Arial" w:hAnsi="Arial" w:cs="Arial"/>
          <w:szCs w:val="20"/>
        </w:rPr>
        <w:t>periculum in mora</w:t>
      </w:r>
      <w:r w:rsidRPr="002763A4">
        <w:rPr>
          <w:rFonts w:ascii="Arial" w:hAnsi="Arial" w:cs="Arial"/>
          <w:szCs w:val="20"/>
        </w:rPr>
        <w:t>, além da garantia do juízo atribuir à peça defensiva efeito suspensivo e, portanto, paralisar a execução fiscal.</w:t>
      </w:r>
    </w:p>
    <w:p w:rsidR="00152FFE" w:rsidRPr="00152FFE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2763A4">
        <w:rPr>
          <w:rFonts w:ascii="Arial" w:hAnsi="Arial" w:cs="Arial"/>
          <w:szCs w:val="20"/>
        </w:rPr>
        <w:t xml:space="preserve">O </w:t>
      </w:r>
      <w:hyperlink r:id="rId17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CPC/15</w:t>
        </w:r>
      </w:hyperlink>
      <w:r w:rsidRPr="002763A4">
        <w:rPr>
          <w:rFonts w:ascii="Arial" w:hAnsi="Arial" w:cs="Arial"/>
          <w:szCs w:val="20"/>
        </w:rPr>
        <w:t xml:space="preserve">, como já mencionado, manteve a alteração formulada em 2006, a </w:t>
      </w:r>
      <w:r w:rsidRPr="00152FFE">
        <w:rPr>
          <w:rFonts w:ascii="Arial" w:hAnsi="Arial" w:cs="Arial"/>
          <w:szCs w:val="20"/>
        </w:rPr>
        <w:t>qual passou a atribuir o efeito suspensivo aos embargos opostos somente após a apreciação do magistrado a respeito da necessidade de dano de difícil reparação. Vejamos:</w:t>
      </w:r>
    </w:p>
    <w:p w:rsidR="00152FFE" w:rsidRPr="002763A4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Fonts w:asciiTheme="minorHAnsi" w:hAnsiTheme="minorHAnsi" w:cs="Arial"/>
          <w:sz w:val="22"/>
          <w:szCs w:val="20"/>
        </w:rPr>
        <w:t>Art. 525. Transcorrido o prazo previsto no art. 523 sem o pagamento voluntário, inicia-se o prazo de 15 dias para que o executado, independentemente de penhora ou nova intimação, apresente, nos próprios autos, sua impugnação.(...)</w:t>
      </w:r>
    </w:p>
    <w:p w:rsidR="00152FFE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Style w:val="Forte"/>
          <w:rFonts w:asciiTheme="minorHAnsi" w:hAnsiTheme="minorHAnsi" w:cs="Arial"/>
          <w:sz w:val="22"/>
          <w:szCs w:val="20"/>
        </w:rPr>
        <w:t>§ 6</w:t>
      </w:r>
      <w:r w:rsidRPr="002763A4">
        <w:rPr>
          <w:rStyle w:val="Forte"/>
          <w:rFonts w:asciiTheme="minorHAnsi" w:hAnsiTheme="minorHAnsi" w:cs="Arial"/>
          <w:sz w:val="22"/>
          <w:szCs w:val="20"/>
          <w:vertAlign w:val="superscript"/>
        </w:rPr>
        <w:t>o</w:t>
      </w:r>
      <w:r w:rsidRPr="002763A4">
        <w:rPr>
          <w:rStyle w:val="Forte"/>
          <w:rFonts w:asciiTheme="minorHAnsi" w:hAnsiTheme="minorHAnsi" w:cs="Arial"/>
          <w:sz w:val="22"/>
          <w:szCs w:val="20"/>
        </w:rPr>
        <w:t xml:space="preserve"> A apresentação de impugnação não impede a prática dos atos executivos, inclusive os de expropriação, podendo o juiz, a requerimento do executado e desde que garantido o juízo com penhora, caução ou depósito suficientes, atribuir-lhe efeito suspensivo, se seus fundamentos forem relevantes e se o prosseguimento da execução for manifestamente suscetível de causar ao executado grave dano de difícil ou incerta reparação.</w:t>
      </w:r>
      <w:r w:rsidR="002763A4">
        <w:rPr>
          <w:rFonts w:asciiTheme="minorHAnsi" w:hAnsiTheme="minorHAnsi" w:cs="Arial"/>
          <w:sz w:val="22"/>
          <w:szCs w:val="20"/>
        </w:rPr>
        <w:t xml:space="preserve"> </w:t>
      </w:r>
    </w:p>
    <w:p w:rsidR="00152FFE" w:rsidRPr="00152FFE" w:rsidRDefault="002763A4" w:rsidP="00152FFE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 Professor</w:t>
      </w:r>
      <w:r w:rsidR="00152FFE" w:rsidRPr="00152FFE">
        <w:rPr>
          <w:rFonts w:ascii="Arial" w:hAnsi="Arial" w:cs="Arial"/>
          <w:szCs w:val="20"/>
        </w:rPr>
        <w:t xml:space="preserve"> José Carneiro da Cunha preleciona</w:t>
      </w:r>
      <w:r>
        <w:rPr>
          <w:rFonts w:ascii="Arial" w:hAnsi="Arial" w:cs="Arial"/>
          <w:szCs w:val="20"/>
        </w:rPr>
        <w:t xml:space="preserve"> que</w:t>
      </w:r>
      <w:r w:rsidR="00152FFE" w:rsidRPr="00152FFE">
        <w:rPr>
          <w:rFonts w:ascii="Arial" w:hAnsi="Arial" w:cs="Arial"/>
          <w:szCs w:val="20"/>
        </w:rPr>
        <w:t xml:space="preserve">: </w:t>
      </w:r>
    </w:p>
    <w:p w:rsidR="00152FFE" w:rsidRPr="002763A4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Fonts w:asciiTheme="minorHAnsi" w:hAnsiTheme="minorHAnsi" w:cs="Arial"/>
          <w:sz w:val="22"/>
          <w:szCs w:val="20"/>
        </w:rPr>
        <w:t>"A lei 6.830/80 não trata dos efeitos decorrentes da propositura dos embargos o executado. Incidem, diante disso, as novas regras contidas no CPC.</w:t>
      </w:r>
      <w:r w:rsidRPr="002763A4">
        <w:rPr>
          <w:rStyle w:val="Forte"/>
          <w:rFonts w:asciiTheme="minorHAnsi" w:hAnsiTheme="minorHAnsi" w:cs="Arial"/>
          <w:sz w:val="22"/>
          <w:szCs w:val="20"/>
        </w:rPr>
        <w:t xml:space="preserve"> Significa, então, que, ajuizados os embargos, a execução fiscal não estará, automaticamente, suspensa. Os embargos não suspendem mais a execução fiscal, cabendo ao juiz, diante de requerimento do executado e convencendo-se da relevância do argumento e do risco de dano, atribuir aos embargos o efeito suspensivo</w:t>
      </w:r>
      <w:r w:rsidRPr="002763A4">
        <w:rPr>
          <w:rFonts w:asciiTheme="minorHAnsi" w:hAnsiTheme="minorHAnsi" w:cs="Arial"/>
          <w:sz w:val="22"/>
          <w:szCs w:val="20"/>
        </w:rPr>
        <w:t>. Em outras palavras, a execução fiscal passará a ser suspensa, não com a propositura dos embargos, mas sim com a determinação judicial de que os embargos merecem, no caso concreto, ser recebidos co</w:t>
      </w:r>
      <w:r w:rsidR="002763A4">
        <w:rPr>
          <w:rFonts w:asciiTheme="minorHAnsi" w:hAnsiTheme="minorHAnsi" w:cs="Arial"/>
          <w:sz w:val="22"/>
          <w:szCs w:val="20"/>
        </w:rPr>
        <w:t xml:space="preserve">m efeito suspensivo." </w:t>
      </w:r>
    </w:p>
    <w:p w:rsidR="00152FFE" w:rsidRPr="001B31DB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1B31DB">
        <w:rPr>
          <w:rFonts w:ascii="Arial" w:hAnsi="Arial" w:cs="Arial"/>
          <w:szCs w:val="20"/>
        </w:rPr>
        <w:t xml:space="preserve">A jurisprudência, por sua vez, passou a aplicar o disposto no CPC às execuções fiscais, sendo que referido posicionamento fora sedimentado pelo STJ no julgamento do </w:t>
      </w:r>
      <w:hyperlink r:id="rId18" w:tgtFrame="_self" w:history="1">
        <w:r w:rsidRPr="001B31DB">
          <w:rPr>
            <w:rStyle w:val="Hyperlink"/>
            <w:rFonts w:ascii="Arial" w:hAnsi="Arial" w:cs="Arial"/>
            <w:color w:val="auto"/>
            <w:szCs w:val="20"/>
            <w:u w:val="none"/>
          </w:rPr>
          <w:t>REsp 1.272.827/PE</w:t>
        </w:r>
      </w:hyperlink>
      <w:r w:rsidRPr="001B31DB">
        <w:rPr>
          <w:rFonts w:ascii="Arial" w:hAnsi="Arial" w:cs="Arial"/>
          <w:szCs w:val="20"/>
        </w:rPr>
        <w:t xml:space="preserve"> sob o rito dos recursos representativos de controvérsia, nos termos do artigo 1.036 do CPC/15).</w:t>
      </w:r>
    </w:p>
    <w:p w:rsidR="00152FFE" w:rsidRPr="00152FFE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152FFE">
        <w:rPr>
          <w:rFonts w:ascii="Arial" w:hAnsi="Arial" w:cs="Arial"/>
          <w:szCs w:val="20"/>
        </w:rPr>
        <w:t>Muito embora o STJ tenha sedimentado o posicionamento de que o efeito suspensivo somente poderá ser atribuído aos embargos à execução fiscal se preenchidos os três requisitos indicados no atual art. 525, §6º do CPC, entendemos que referido posicionamento viola o disposto na lei de Execuções Fiscais.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 xml:space="preserve">7. Na ação de consignação em pagamento, o que extingue a obrigação tributária: (i) a consignação em pagamento; (ii) a conversão em renda do valor consignado; (iii) a sentença que julga procedente a ação de consignação em pagamento; (iv) a decisão judicial de procedência da ação transitada em julgado? 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5228D6" w:rsidRPr="00EF2761" w:rsidRDefault="005228D6" w:rsidP="005228D6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Nos casos previstos em lei, como o de recursar-se o credor a receber a quantia ou coisa devida, e no de o devedor não saber a quem pagar, pode o devedor depositar em juízo a quantia ou a coisa devida, requerendo ao juiz a declaração de extinção da obrigação, em face do pagamento efetuado.  Serve, pois, a ação de consignação em pagamento para a efetivação de depósito judicial com eficácia de pagamento.</w:t>
      </w:r>
    </w:p>
    <w:p w:rsidR="005228D6" w:rsidRDefault="005228D6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5228D6">
        <w:rPr>
          <w:rFonts w:ascii="ArialMT" w:hAnsi="ArialMT" w:cs="ArialMT"/>
          <w:sz w:val="24"/>
          <w:szCs w:val="24"/>
        </w:rPr>
        <w:t>Considera-se pagamento, e extingue a obrigação, o depósito judicial ou em estabelecimento bancário da coisa devida, nos casos e forma legais.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A Lei permite o depósito extrajudicial, em estabelecimento bancário situado no lugar do pagamento, no caso de obrigação em dinheiro, ficando dispensada a propositura da ação de consignação pagamento, se o credor, cientificado por carta com aviso de recebimento, não manifestar sua recusa, no prazo de 10 dias, ao próprio estabelecimento bancário, caso em que o devedor se libera da obrigação. Mas, havendo recusa, o devedor precisará necessariamente ir a juízo para obter a liberação do débito.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</w:t>
      </w:r>
      <w:r w:rsidR="00EF2761" w:rsidRPr="00EF2761">
        <w:rPr>
          <w:rFonts w:ascii="Arial" w:hAnsi="Arial" w:cs="Arial"/>
        </w:rPr>
        <w:t>foro competente o do lugar do pagamento.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Se o objeto da prestação devida é coisa indeterminada, cabendo a escolha ao credor, este é citado para escolher, dentro do prazo legal ou contratual, sob pena de escolha pelo devedor, devendo o juiz, ao despachar a petição inicial, fixar lugar, dia e hora para o recebimento, sob pena de deposito.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2761" w:rsidRPr="00EF2761">
        <w:rPr>
          <w:rFonts w:ascii="Arial" w:hAnsi="Arial" w:cs="Arial"/>
        </w:rPr>
        <w:t xml:space="preserve">e a ação é proposta </w:t>
      </w:r>
      <w:r>
        <w:rPr>
          <w:rFonts w:ascii="Arial" w:hAnsi="Arial" w:cs="Arial"/>
        </w:rPr>
        <w:t>e</w:t>
      </w:r>
      <w:r w:rsidR="00EF2761" w:rsidRPr="00EF2761">
        <w:rPr>
          <w:rFonts w:ascii="Arial" w:hAnsi="Arial" w:cs="Arial"/>
        </w:rPr>
        <w:t xml:space="preserve"> não sabe</w:t>
      </w:r>
      <w:r>
        <w:rPr>
          <w:rFonts w:ascii="Arial" w:hAnsi="Arial" w:cs="Arial"/>
        </w:rPr>
        <w:t xml:space="preserve"> o devedor a quem pagar, </w:t>
      </w:r>
      <w:r w:rsidR="00EF2761" w:rsidRPr="00EF2761">
        <w:rPr>
          <w:rFonts w:ascii="Arial" w:hAnsi="Arial" w:cs="Arial"/>
        </w:rPr>
        <w:t>o autor precisa requerer o depósito e a citação dos possíveis titulares do direito de crédito. 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Não comparecendo pretendente algum, o depósito converte-se em arrecadação de coisas vagas; comparecendo apenas um, o juiz decide de plano; comparecendo mais de um credor, o juiz declara efetuado o depósito e extinta a obrigação, continuando a correr o processo apenas entre os que se afirmaram credores, observado o procedimento comum.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No caso de prestações sucessivas, como as relativas aos alugueres de um prédio</w:t>
      </w:r>
      <w:r w:rsidR="005228D6">
        <w:rPr>
          <w:rFonts w:ascii="Arial" w:hAnsi="Arial" w:cs="Arial"/>
        </w:rPr>
        <w:t xml:space="preserve"> não </w:t>
      </w:r>
      <w:r w:rsidRPr="00EF2761">
        <w:rPr>
          <w:rFonts w:ascii="Arial" w:hAnsi="Arial" w:cs="Arial"/>
        </w:rPr>
        <w:t>é preciso uma ação próp</w:t>
      </w:r>
      <w:r w:rsidR="005228D6">
        <w:rPr>
          <w:rFonts w:ascii="Arial" w:hAnsi="Arial" w:cs="Arial"/>
        </w:rPr>
        <w:t xml:space="preserve">ria para cada prestação vencida, tudo de acordo com o </w:t>
      </w:r>
      <w:r w:rsidRPr="00EF2761">
        <w:rPr>
          <w:rFonts w:ascii="Arial" w:hAnsi="Arial" w:cs="Arial"/>
        </w:rPr>
        <w:t>“Art. 541. Tratando-se de prestações sucessivas, consignada uma delas, pode o devedor continuar a depositar, no mesmo processo e sem mais formalidades, as que se forem vencendo, desde que o faça em até 5 (cinco) dias contados da data do respectivo vencimento”.</w:t>
      </w:r>
    </w:p>
    <w:p w:rsidR="00EF2761" w:rsidRPr="00EF2761" w:rsidRDefault="00051EEC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O credor pode oferecer as seguintes defesas</w:t>
      </w:r>
      <w:r w:rsidR="00EF2761" w:rsidRPr="00EF2761">
        <w:rPr>
          <w:rFonts w:ascii="Arial" w:hAnsi="Arial" w:cs="Arial"/>
        </w:rPr>
        <w:t xml:space="preserve"> de mérito</w:t>
      </w:r>
      <w:r>
        <w:rPr>
          <w:rFonts w:ascii="Arial" w:hAnsi="Arial" w:cs="Arial"/>
        </w:rPr>
        <w:t>: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lastRenderedPageBreak/>
        <w:t>I - não houve recusa ou mora em receber a quantia ou a coisa devida;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II - que foi justa a recusa;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III – que o depósito não se efetuou no prazo ou no lugar do pagamento;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IV – que o depósito é insuficiente, caso em que o credor deve indicar o valor que considera devido.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Neste último caso, pode o credor levantar desde logo o valor incontroverso e pode o devedor completar o depósito.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2761" w:rsidRPr="00EF2761">
        <w:rPr>
          <w:rFonts w:ascii="Arial" w:hAnsi="Arial" w:cs="Arial"/>
        </w:rPr>
        <w:t xml:space="preserve"> natureza da sentença de procedência proferida na a</w:t>
      </w:r>
      <w:r>
        <w:rPr>
          <w:rFonts w:ascii="Arial" w:hAnsi="Arial" w:cs="Arial"/>
        </w:rPr>
        <w:t xml:space="preserve">ção de consignação em pagamento, </w:t>
      </w:r>
      <w:r w:rsidR="00EF2761" w:rsidRPr="00EF2761">
        <w:rPr>
          <w:rFonts w:ascii="Arial" w:hAnsi="Arial" w:cs="Arial"/>
        </w:rPr>
        <w:t>é declaratória da extinção do débito e condenatória, no que diz respeito às custas e honorários.</w:t>
      </w:r>
    </w:p>
    <w:p w:rsid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2761" w:rsidRPr="00EF2761">
        <w:rPr>
          <w:rFonts w:ascii="Arial" w:hAnsi="Arial" w:cs="Arial"/>
        </w:rPr>
        <w:t>e o  credor recebe a quantia ou a coisa dev</w:t>
      </w:r>
      <w:r>
        <w:rPr>
          <w:rFonts w:ascii="Arial" w:hAnsi="Arial" w:cs="Arial"/>
        </w:rPr>
        <w:t>ida e dá quitação,</w:t>
      </w:r>
      <w:r w:rsidR="00EF2761" w:rsidRPr="00EF2761">
        <w:rPr>
          <w:rFonts w:ascii="Arial" w:hAnsi="Arial" w:cs="Arial"/>
        </w:rPr>
        <w:t xml:space="preserve"> extingue-se o processo pelo reconhecimento da procedência do pedido, com a condenação do réu nas custas e em honorários advocatícios.</w:t>
      </w:r>
    </w:p>
    <w:p w:rsidR="00051EEC" w:rsidRDefault="00051EEC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--------------------//////-------------</w:t>
      </w:r>
    </w:p>
    <w:sectPr w:rsidR="00051EEC" w:rsidSect="005277C0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3F" w:rsidRDefault="00C5233F" w:rsidP="009A626E">
      <w:pPr>
        <w:spacing w:after="0" w:line="240" w:lineRule="auto"/>
      </w:pPr>
      <w:r>
        <w:separator/>
      </w:r>
    </w:p>
  </w:endnote>
  <w:endnote w:type="continuationSeparator" w:id="0">
    <w:p w:rsidR="00C5233F" w:rsidRDefault="00C5233F" w:rsidP="009A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31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3F" w:rsidRDefault="00C5233F" w:rsidP="009A626E">
      <w:pPr>
        <w:spacing w:after="0" w:line="240" w:lineRule="auto"/>
      </w:pPr>
      <w:r>
        <w:separator/>
      </w:r>
    </w:p>
  </w:footnote>
  <w:footnote w:type="continuationSeparator" w:id="0">
    <w:p w:rsidR="00C5233F" w:rsidRDefault="00C5233F" w:rsidP="009A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FC" w:rsidRDefault="0025481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30.5pt;margin-top:36.65pt;width:10pt;height:14pt;z-index:-251658752;mso-position-horizontal-relative:page;mso-position-vertical-relative:page" filled="f" stroked="f">
          <v:textbox inset="0,0,0,0">
            <w:txbxContent>
              <w:p w:rsidR="005060FC" w:rsidRDefault="008E38AE">
                <w:pPr>
                  <w:pStyle w:val="Corpodetexto"/>
                  <w:spacing w:line="265" w:lineRule="exact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5060FC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5481B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43E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5BD8"/>
    <w:multiLevelType w:val="multilevel"/>
    <w:tmpl w:val="666C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27BB6"/>
    <w:multiLevelType w:val="multilevel"/>
    <w:tmpl w:val="6C7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B726C"/>
    <w:multiLevelType w:val="hybridMultilevel"/>
    <w:tmpl w:val="F21A9178"/>
    <w:lvl w:ilvl="0" w:tplc="4B86DD4E">
      <w:start w:val="1"/>
      <w:numFmt w:val="lowerLetter"/>
      <w:lvlText w:val="%1)"/>
      <w:lvlJc w:val="left"/>
      <w:pPr>
        <w:ind w:left="122" w:hanging="28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BA674E6">
      <w:start w:val="1"/>
      <w:numFmt w:val="bullet"/>
      <w:lvlText w:val="•"/>
      <w:lvlJc w:val="left"/>
      <w:pPr>
        <w:ind w:left="1038" w:hanging="288"/>
      </w:pPr>
      <w:rPr>
        <w:rFonts w:hint="default"/>
      </w:rPr>
    </w:lvl>
    <w:lvl w:ilvl="2" w:tplc="38184516">
      <w:start w:val="1"/>
      <w:numFmt w:val="bullet"/>
      <w:lvlText w:val="•"/>
      <w:lvlJc w:val="left"/>
      <w:pPr>
        <w:ind w:left="1957" w:hanging="288"/>
      </w:pPr>
      <w:rPr>
        <w:rFonts w:hint="default"/>
      </w:rPr>
    </w:lvl>
    <w:lvl w:ilvl="3" w:tplc="BDC6E302">
      <w:start w:val="1"/>
      <w:numFmt w:val="bullet"/>
      <w:lvlText w:val="•"/>
      <w:lvlJc w:val="left"/>
      <w:pPr>
        <w:ind w:left="2875" w:hanging="288"/>
      </w:pPr>
      <w:rPr>
        <w:rFonts w:hint="default"/>
      </w:rPr>
    </w:lvl>
    <w:lvl w:ilvl="4" w:tplc="51C44B4A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B59EEBB0">
      <w:start w:val="1"/>
      <w:numFmt w:val="bullet"/>
      <w:lvlText w:val="•"/>
      <w:lvlJc w:val="left"/>
      <w:pPr>
        <w:ind w:left="4713" w:hanging="288"/>
      </w:pPr>
      <w:rPr>
        <w:rFonts w:hint="default"/>
      </w:rPr>
    </w:lvl>
    <w:lvl w:ilvl="6" w:tplc="59548838">
      <w:start w:val="1"/>
      <w:numFmt w:val="bullet"/>
      <w:lvlText w:val="•"/>
      <w:lvlJc w:val="left"/>
      <w:pPr>
        <w:ind w:left="5631" w:hanging="288"/>
      </w:pPr>
      <w:rPr>
        <w:rFonts w:hint="default"/>
      </w:rPr>
    </w:lvl>
    <w:lvl w:ilvl="7" w:tplc="2EC6EDE2">
      <w:start w:val="1"/>
      <w:numFmt w:val="bullet"/>
      <w:lvlText w:val="•"/>
      <w:lvlJc w:val="left"/>
      <w:pPr>
        <w:ind w:left="6550" w:hanging="288"/>
      </w:pPr>
      <w:rPr>
        <w:rFonts w:hint="default"/>
      </w:rPr>
    </w:lvl>
    <w:lvl w:ilvl="8" w:tplc="7A9E680A">
      <w:start w:val="1"/>
      <w:numFmt w:val="bullet"/>
      <w:lvlText w:val="•"/>
      <w:lvlJc w:val="left"/>
      <w:pPr>
        <w:ind w:left="7469" w:hanging="288"/>
      </w:pPr>
      <w:rPr>
        <w:rFonts w:hint="default"/>
      </w:rPr>
    </w:lvl>
  </w:abstractNum>
  <w:abstractNum w:abstractNumId="4">
    <w:nsid w:val="0F957C5D"/>
    <w:multiLevelType w:val="hybridMultilevel"/>
    <w:tmpl w:val="A4A4CC3E"/>
    <w:lvl w:ilvl="0" w:tplc="184A4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00B8"/>
    <w:multiLevelType w:val="hybridMultilevel"/>
    <w:tmpl w:val="1E088FDC"/>
    <w:lvl w:ilvl="0" w:tplc="E1DC7A3E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C2510"/>
    <w:multiLevelType w:val="multilevel"/>
    <w:tmpl w:val="40A2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A41E8"/>
    <w:multiLevelType w:val="multilevel"/>
    <w:tmpl w:val="31C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E35E9"/>
    <w:multiLevelType w:val="hybridMultilevel"/>
    <w:tmpl w:val="9C329BF6"/>
    <w:lvl w:ilvl="0" w:tplc="A9B4E56E">
      <w:start w:val="1"/>
      <w:numFmt w:val="decimal"/>
      <w:lvlText w:val="%1."/>
      <w:lvlJc w:val="left"/>
      <w:pPr>
        <w:ind w:left="3900" w:hanging="360"/>
      </w:pPr>
      <w:rPr>
        <w:rFonts w:asciiTheme="minorHAnsi" w:eastAsiaTheme="minorHAnsi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23D1516F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4270"/>
    <w:multiLevelType w:val="multilevel"/>
    <w:tmpl w:val="EED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F7D4E"/>
    <w:multiLevelType w:val="hybridMultilevel"/>
    <w:tmpl w:val="0A20A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E36EF"/>
    <w:multiLevelType w:val="hybridMultilevel"/>
    <w:tmpl w:val="E3EEB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E7AA7"/>
    <w:multiLevelType w:val="multilevel"/>
    <w:tmpl w:val="731E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72994"/>
    <w:multiLevelType w:val="hybridMultilevel"/>
    <w:tmpl w:val="7376F536"/>
    <w:lvl w:ilvl="0" w:tplc="3F784B8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3733540D"/>
    <w:multiLevelType w:val="multilevel"/>
    <w:tmpl w:val="5BC4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946CB"/>
    <w:multiLevelType w:val="hybridMultilevel"/>
    <w:tmpl w:val="329E64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D1E35"/>
    <w:multiLevelType w:val="hybridMultilevel"/>
    <w:tmpl w:val="728E3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316C1"/>
    <w:multiLevelType w:val="hybridMultilevel"/>
    <w:tmpl w:val="E3EEB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92EE7"/>
    <w:multiLevelType w:val="multilevel"/>
    <w:tmpl w:val="26E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C5C6D"/>
    <w:multiLevelType w:val="multilevel"/>
    <w:tmpl w:val="F8A2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178D5"/>
    <w:multiLevelType w:val="multilevel"/>
    <w:tmpl w:val="B40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AB7DD0"/>
    <w:multiLevelType w:val="hybridMultilevel"/>
    <w:tmpl w:val="FD3C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C49C5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21993"/>
    <w:multiLevelType w:val="hybridMultilevel"/>
    <w:tmpl w:val="E430A4F0"/>
    <w:lvl w:ilvl="0" w:tplc="34E0D4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17F81"/>
    <w:multiLevelType w:val="hybridMultilevel"/>
    <w:tmpl w:val="C0B0913C"/>
    <w:lvl w:ilvl="0" w:tplc="F014D57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4B0116EC"/>
    <w:multiLevelType w:val="hybridMultilevel"/>
    <w:tmpl w:val="83469C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3A6B"/>
    <w:multiLevelType w:val="multilevel"/>
    <w:tmpl w:val="BF6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978E9"/>
    <w:multiLevelType w:val="multilevel"/>
    <w:tmpl w:val="A3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B456ED"/>
    <w:multiLevelType w:val="multilevel"/>
    <w:tmpl w:val="995E5144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2370" w:hanging="36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380" w:hanging="367"/>
      </w:pPr>
      <w:rPr>
        <w:rFonts w:hint="default"/>
      </w:rPr>
    </w:lvl>
    <w:lvl w:ilvl="4">
      <w:numFmt w:val="bullet"/>
      <w:lvlText w:val="•"/>
      <w:lvlJc w:val="left"/>
      <w:pPr>
        <w:ind w:left="3286" w:hanging="367"/>
      </w:pPr>
      <w:rPr>
        <w:rFonts w:hint="default"/>
      </w:rPr>
    </w:lvl>
    <w:lvl w:ilvl="5">
      <w:numFmt w:val="bullet"/>
      <w:lvlText w:val="•"/>
      <w:lvlJc w:val="left"/>
      <w:pPr>
        <w:ind w:left="4193" w:hanging="367"/>
      </w:pPr>
      <w:rPr>
        <w:rFonts w:hint="default"/>
      </w:rPr>
    </w:lvl>
    <w:lvl w:ilvl="6">
      <w:numFmt w:val="bullet"/>
      <w:lvlText w:val="•"/>
      <w:lvlJc w:val="left"/>
      <w:pPr>
        <w:ind w:left="5099" w:hanging="367"/>
      </w:pPr>
      <w:rPr>
        <w:rFonts w:hint="default"/>
      </w:rPr>
    </w:lvl>
    <w:lvl w:ilvl="7">
      <w:numFmt w:val="bullet"/>
      <w:lvlText w:val="•"/>
      <w:lvlJc w:val="left"/>
      <w:pPr>
        <w:ind w:left="6006" w:hanging="367"/>
      </w:pPr>
      <w:rPr>
        <w:rFonts w:hint="default"/>
      </w:rPr>
    </w:lvl>
    <w:lvl w:ilvl="8">
      <w:numFmt w:val="bullet"/>
      <w:lvlText w:val="•"/>
      <w:lvlJc w:val="left"/>
      <w:pPr>
        <w:ind w:left="6913" w:hanging="367"/>
      </w:pPr>
      <w:rPr>
        <w:rFonts w:hint="default"/>
      </w:rPr>
    </w:lvl>
  </w:abstractNum>
  <w:abstractNum w:abstractNumId="30">
    <w:nsid w:val="5ABF2C30"/>
    <w:multiLevelType w:val="hybridMultilevel"/>
    <w:tmpl w:val="554CCE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5220C"/>
    <w:multiLevelType w:val="hybridMultilevel"/>
    <w:tmpl w:val="93162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66153"/>
    <w:multiLevelType w:val="hybridMultilevel"/>
    <w:tmpl w:val="DD9EAA74"/>
    <w:lvl w:ilvl="0" w:tplc="4C0A713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3">
    <w:nsid w:val="5F911314"/>
    <w:multiLevelType w:val="multilevel"/>
    <w:tmpl w:val="11D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109D3"/>
    <w:multiLevelType w:val="hybridMultilevel"/>
    <w:tmpl w:val="3E40B220"/>
    <w:lvl w:ilvl="0" w:tplc="2610A82C">
      <w:start w:val="1"/>
      <w:numFmt w:val="upperRoman"/>
      <w:lvlText w:val="%1"/>
      <w:lvlJc w:val="left"/>
      <w:pPr>
        <w:ind w:left="122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75E32B4">
      <w:start w:val="1"/>
      <w:numFmt w:val="bullet"/>
      <w:lvlText w:val=""/>
      <w:lvlJc w:val="left"/>
      <w:pPr>
        <w:ind w:left="122" w:hanging="212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7B1A2750">
      <w:start w:val="1"/>
      <w:numFmt w:val="bullet"/>
      <w:lvlText w:val="•"/>
      <w:lvlJc w:val="left"/>
      <w:pPr>
        <w:ind w:left="1957" w:hanging="212"/>
      </w:pPr>
      <w:rPr>
        <w:rFonts w:hint="default"/>
      </w:rPr>
    </w:lvl>
    <w:lvl w:ilvl="3" w:tplc="7E52795E">
      <w:start w:val="1"/>
      <w:numFmt w:val="bullet"/>
      <w:lvlText w:val="•"/>
      <w:lvlJc w:val="left"/>
      <w:pPr>
        <w:ind w:left="2875" w:hanging="212"/>
      </w:pPr>
      <w:rPr>
        <w:rFonts w:hint="default"/>
      </w:rPr>
    </w:lvl>
    <w:lvl w:ilvl="4" w:tplc="982C5880">
      <w:start w:val="1"/>
      <w:numFmt w:val="bullet"/>
      <w:lvlText w:val="•"/>
      <w:lvlJc w:val="left"/>
      <w:pPr>
        <w:ind w:left="3794" w:hanging="212"/>
      </w:pPr>
      <w:rPr>
        <w:rFonts w:hint="default"/>
      </w:rPr>
    </w:lvl>
    <w:lvl w:ilvl="5" w:tplc="A63E2946">
      <w:start w:val="1"/>
      <w:numFmt w:val="bullet"/>
      <w:lvlText w:val="•"/>
      <w:lvlJc w:val="left"/>
      <w:pPr>
        <w:ind w:left="4713" w:hanging="212"/>
      </w:pPr>
      <w:rPr>
        <w:rFonts w:hint="default"/>
      </w:rPr>
    </w:lvl>
    <w:lvl w:ilvl="6" w:tplc="CF848972">
      <w:start w:val="1"/>
      <w:numFmt w:val="bullet"/>
      <w:lvlText w:val="•"/>
      <w:lvlJc w:val="left"/>
      <w:pPr>
        <w:ind w:left="5631" w:hanging="212"/>
      </w:pPr>
      <w:rPr>
        <w:rFonts w:hint="default"/>
      </w:rPr>
    </w:lvl>
    <w:lvl w:ilvl="7" w:tplc="6C241B82">
      <w:start w:val="1"/>
      <w:numFmt w:val="bullet"/>
      <w:lvlText w:val="•"/>
      <w:lvlJc w:val="left"/>
      <w:pPr>
        <w:ind w:left="6550" w:hanging="212"/>
      </w:pPr>
      <w:rPr>
        <w:rFonts w:hint="default"/>
      </w:rPr>
    </w:lvl>
    <w:lvl w:ilvl="8" w:tplc="A4F852D2">
      <w:start w:val="1"/>
      <w:numFmt w:val="bullet"/>
      <w:lvlText w:val="•"/>
      <w:lvlJc w:val="left"/>
      <w:pPr>
        <w:ind w:left="7469" w:hanging="212"/>
      </w:pPr>
      <w:rPr>
        <w:rFonts w:hint="default"/>
      </w:rPr>
    </w:lvl>
  </w:abstractNum>
  <w:abstractNum w:abstractNumId="35">
    <w:nsid w:val="6C595D19"/>
    <w:multiLevelType w:val="multilevel"/>
    <w:tmpl w:val="9DE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121B5"/>
    <w:multiLevelType w:val="multilevel"/>
    <w:tmpl w:val="AAB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F7636D"/>
    <w:multiLevelType w:val="multilevel"/>
    <w:tmpl w:val="261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DD0B52"/>
    <w:multiLevelType w:val="multilevel"/>
    <w:tmpl w:val="0D7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D010A"/>
    <w:multiLevelType w:val="multilevel"/>
    <w:tmpl w:val="241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34E5C"/>
    <w:multiLevelType w:val="multilevel"/>
    <w:tmpl w:val="A8E4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D5377F"/>
    <w:multiLevelType w:val="hybridMultilevel"/>
    <w:tmpl w:val="ED72BC82"/>
    <w:lvl w:ilvl="0" w:tplc="0ED07F24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2">
    <w:nsid w:val="78094CF2"/>
    <w:multiLevelType w:val="multilevel"/>
    <w:tmpl w:val="5092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D4031"/>
    <w:multiLevelType w:val="hybridMultilevel"/>
    <w:tmpl w:val="F91EA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10326"/>
    <w:multiLevelType w:val="hybridMultilevel"/>
    <w:tmpl w:val="261EB576"/>
    <w:lvl w:ilvl="0" w:tplc="66B0D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A71F5"/>
    <w:multiLevelType w:val="multilevel"/>
    <w:tmpl w:val="15D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30"/>
  </w:num>
  <w:num w:numId="4">
    <w:abstractNumId w:val="18"/>
  </w:num>
  <w:num w:numId="5">
    <w:abstractNumId w:val="12"/>
  </w:num>
  <w:num w:numId="6">
    <w:abstractNumId w:val="1"/>
  </w:num>
  <w:num w:numId="7">
    <w:abstractNumId w:val="15"/>
  </w:num>
  <w:num w:numId="8">
    <w:abstractNumId w:val="7"/>
  </w:num>
  <w:num w:numId="9">
    <w:abstractNumId w:val="37"/>
  </w:num>
  <w:num w:numId="10">
    <w:abstractNumId w:val="27"/>
  </w:num>
  <w:num w:numId="11">
    <w:abstractNumId w:val="19"/>
  </w:num>
  <w:num w:numId="12">
    <w:abstractNumId w:val="35"/>
  </w:num>
  <w:num w:numId="13">
    <w:abstractNumId w:val="39"/>
  </w:num>
  <w:num w:numId="14">
    <w:abstractNumId w:val="10"/>
  </w:num>
  <w:num w:numId="15">
    <w:abstractNumId w:val="2"/>
  </w:num>
  <w:num w:numId="16">
    <w:abstractNumId w:val="33"/>
  </w:num>
  <w:num w:numId="17">
    <w:abstractNumId w:val="20"/>
  </w:num>
  <w:num w:numId="18">
    <w:abstractNumId w:val="26"/>
  </w:num>
  <w:num w:numId="19">
    <w:abstractNumId w:val="3"/>
  </w:num>
  <w:num w:numId="20">
    <w:abstractNumId w:val="34"/>
  </w:num>
  <w:num w:numId="21">
    <w:abstractNumId w:val="36"/>
  </w:num>
  <w:num w:numId="22">
    <w:abstractNumId w:val="43"/>
  </w:num>
  <w:num w:numId="23">
    <w:abstractNumId w:val="32"/>
  </w:num>
  <w:num w:numId="24">
    <w:abstractNumId w:val="14"/>
  </w:num>
  <w:num w:numId="25">
    <w:abstractNumId w:val="31"/>
  </w:num>
  <w:num w:numId="26">
    <w:abstractNumId w:val="22"/>
  </w:num>
  <w:num w:numId="27">
    <w:abstractNumId w:val="24"/>
  </w:num>
  <w:num w:numId="28">
    <w:abstractNumId w:val="44"/>
  </w:num>
  <w:num w:numId="29">
    <w:abstractNumId w:val="4"/>
  </w:num>
  <w:num w:numId="30">
    <w:abstractNumId w:val="41"/>
  </w:num>
  <w:num w:numId="31">
    <w:abstractNumId w:val="28"/>
  </w:num>
  <w:num w:numId="32">
    <w:abstractNumId w:val="42"/>
  </w:num>
  <w:num w:numId="33">
    <w:abstractNumId w:val="6"/>
  </w:num>
  <w:num w:numId="34">
    <w:abstractNumId w:val="45"/>
  </w:num>
  <w:num w:numId="35">
    <w:abstractNumId w:val="13"/>
  </w:num>
  <w:num w:numId="36">
    <w:abstractNumId w:val="40"/>
  </w:num>
  <w:num w:numId="37">
    <w:abstractNumId w:val="29"/>
  </w:num>
  <w:num w:numId="38">
    <w:abstractNumId w:val="25"/>
  </w:num>
  <w:num w:numId="39">
    <w:abstractNumId w:val="16"/>
  </w:num>
  <w:num w:numId="40">
    <w:abstractNumId w:val="38"/>
  </w:num>
  <w:num w:numId="41">
    <w:abstractNumId w:val="8"/>
  </w:num>
  <w:num w:numId="42">
    <w:abstractNumId w:val="5"/>
  </w:num>
  <w:num w:numId="43">
    <w:abstractNumId w:val="0"/>
  </w:num>
  <w:num w:numId="44">
    <w:abstractNumId w:val="9"/>
  </w:num>
  <w:num w:numId="45">
    <w:abstractNumId w:val="2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0D"/>
    <w:rsid w:val="00000A66"/>
    <w:rsid w:val="00000C3A"/>
    <w:rsid w:val="00001967"/>
    <w:rsid w:val="00001AEE"/>
    <w:rsid w:val="00003509"/>
    <w:rsid w:val="00005288"/>
    <w:rsid w:val="00010565"/>
    <w:rsid w:val="00017C02"/>
    <w:rsid w:val="0002284A"/>
    <w:rsid w:val="000228F1"/>
    <w:rsid w:val="00023BE7"/>
    <w:rsid w:val="00023FDF"/>
    <w:rsid w:val="00024A46"/>
    <w:rsid w:val="00025832"/>
    <w:rsid w:val="0002604E"/>
    <w:rsid w:val="00030F78"/>
    <w:rsid w:val="00031C97"/>
    <w:rsid w:val="00032064"/>
    <w:rsid w:val="00032749"/>
    <w:rsid w:val="00032AC1"/>
    <w:rsid w:val="00033816"/>
    <w:rsid w:val="00034CC6"/>
    <w:rsid w:val="00034D69"/>
    <w:rsid w:val="00037D08"/>
    <w:rsid w:val="00041EBE"/>
    <w:rsid w:val="0004325D"/>
    <w:rsid w:val="000434E1"/>
    <w:rsid w:val="00043B56"/>
    <w:rsid w:val="00046338"/>
    <w:rsid w:val="00046B2F"/>
    <w:rsid w:val="00047C97"/>
    <w:rsid w:val="00047D24"/>
    <w:rsid w:val="00051171"/>
    <w:rsid w:val="00051EEC"/>
    <w:rsid w:val="00055155"/>
    <w:rsid w:val="000553FC"/>
    <w:rsid w:val="00055C8A"/>
    <w:rsid w:val="000608E8"/>
    <w:rsid w:val="000622F8"/>
    <w:rsid w:val="0006264A"/>
    <w:rsid w:val="00062704"/>
    <w:rsid w:val="00062F4A"/>
    <w:rsid w:val="0006450C"/>
    <w:rsid w:val="000653D5"/>
    <w:rsid w:val="00065E2B"/>
    <w:rsid w:val="00066368"/>
    <w:rsid w:val="00066493"/>
    <w:rsid w:val="00070A33"/>
    <w:rsid w:val="00073496"/>
    <w:rsid w:val="0007471A"/>
    <w:rsid w:val="00075F15"/>
    <w:rsid w:val="000769E7"/>
    <w:rsid w:val="0007719A"/>
    <w:rsid w:val="00081049"/>
    <w:rsid w:val="00082473"/>
    <w:rsid w:val="00082E64"/>
    <w:rsid w:val="00084740"/>
    <w:rsid w:val="000848CE"/>
    <w:rsid w:val="0008581F"/>
    <w:rsid w:val="000868FE"/>
    <w:rsid w:val="00087E90"/>
    <w:rsid w:val="00090835"/>
    <w:rsid w:val="00097289"/>
    <w:rsid w:val="000A1EDC"/>
    <w:rsid w:val="000A1F4E"/>
    <w:rsid w:val="000A5189"/>
    <w:rsid w:val="000A55C5"/>
    <w:rsid w:val="000A62DD"/>
    <w:rsid w:val="000A6301"/>
    <w:rsid w:val="000A6A53"/>
    <w:rsid w:val="000A6EDD"/>
    <w:rsid w:val="000B3915"/>
    <w:rsid w:val="000B5C4E"/>
    <w:rsid w:val="000C00D3"/>
    <w:rsid w:val="000C4796"/>
    <w:rsid w:val="000C6157"/>
    <w:rsid w:val="000C6E2F"/>
    <w:rsid w:val="000C7826"/>
    <w:rsid w:val="000E164E"/>
    <w:rsid w:val="000E23CB"/>
    <w:rsid w:val="000E47EF"/>
    <w:rsid w:val="000E6418"/>
    <w:rsid w:val="000E6F4A"/>
    <w:rsid w:val="000E70C5"/>
    <w:rsid w:val="000F2307"/>
    <w:rsid w:val="000F6AFF"/>
    <w:rsid w:val="00100DDA"/>
    <w:rsid w:val="00100F4B"/>
    <w:rsid w:val="001015C5"/>
    <w:rsid w:val="00101D79"/>
    <w:rsid w:val="00102D4C"/>
    <w:rsid w:val="00110274"/>
    <w:rsid w:val="0011072A"/>
    <w:rsid w:val="001107D1"/>
    <w:rsid w:val="00110F54"/>
    <w:rsid w:val="001114D2"/>
    <w:rsid w:val="00113442"/>
    <w:rsid w:val="001147E9"/>
    <w:rsid w:val="00115C53"/>
    <w:rsid w:val="001173BA"/>
    <w:rsid w:val="001245AB"/>
    <w:rsid w:val="001260EB"/>
    <w:rsid w:val="0012736B"/>
    <w:rsid w:val="00130B0F"/>
    <w:rsid w:val="00132276"/>
    <w:rsid w:val="00134D0A"/>
    <w:rsid w:val="0013609F"/>
    <w:rsid w:val="00140E26"/>
    <w:rsid w:val="001410D8"/>
    <w:rsid w:val="001410ED"/>
    <w:rsid w:val="001444A2"/>
    <w:rsid w:val="00144764"/>
    <w:rsid w:val="0015247B"/>
    <w:rsid w:val="00152FFE"/>
    <w:rsid w:val="0015374A"/>
    <w:rsid w:val="00154C42"/>
    <w:rsid w:val="00157D71"/>
    <w:rsid w:val="001600DB"/>
    <w:rsid w:val="00161C67"/>
    <w:rsid w:val="0016288B"/>
    <w:rsid w:val="00162CA9"/>
    <w:rsid w:val="00170662"/>
    <w:rsid w:val="00170CE0"/>
    <w:rsid w:val="00170EA2"/>
    <w:rsid w:val="00171A9B"/>
    <w:rsid w:val="00172A59"/>
    <w:rsid w:val="0017590A"/>
    <w:rsid w:val="001773EC"/>
    <w:rsid w:val="001779E7"/>
    <w:rsid w:val="0018023F"/>
    <w:rsid w:val="001820A9"/>
    <w:rsid w:val="0018379D"/>
    <w:rsid w:val="00183DFD"/>
    <w:rsid w:val="00184025"/>
    <w:rsid w:val="00184184"/>
    <w:rsid w:val="00190F2A"/>
    <w:rsid w:val="001937A2"/>
    <w:rsid w:val="0019571F"/>
    <w:rsid w:val="00195E54"/>
    <w:rsid w:val="001A4076"/>
    <w:rsid w:val="001A552F"/>
    <w:rsid w:val="001A678B"/>
    <w:rsid w:val="001A7643"/>
    <w:rsid w:val="001B1A3D"/>
    <w:rsid w:val="001B29C3"/>
    <w:rsid w:val="001B31DB"/>
    <w:rsid w:val="001B7DC1"/>
    <w:rsid w:val="001C13A3"/>
    <w:rsid w:val="001C34F0"/>
    <w:rsid w:val="001C3DDF"/>
    <w:rsid w:val="001C452D"/>
    <w:rsid w:val="001C76CC"/>
    <w:rsid w:val="001D3115"/>
    <w:rsid w:val="001D3965"/>
    <w:rsid w:val="001D5E53"/>
    <w:rsid w:val="001D5FF6"/>
    <w:rsid w:val="001D700C"/>
    <w:rsid w:val="001E14C6"/>
    <w:rsid w:val="001E210F"/>
    <w:rsid w:val="001E411E"/>
    <w:rsid w:val="001E41EE"/>
    <w:rsid w:val="001E4B25"/>
    <w:rsid w:val="001E7803"/>
    <w:rsid w:val="001E7E48"/>
    <w:rsid w:val="001F0417"/>
    <w:rsid w:val="001F0744"/>
    <w:rsid w:val="001F0948"/>
    <w:rsid w:val="001F2EAA"/>
    <w:rsid w:val="001F5267"/>
    <w:rsid w:val="001F5877"/>
    <w:rsid w:val="001F7B2E"/>
    <w:rsid w:val="00201EDE"/>
    <w:rsid w:val="002025A2"/>
    <w:rsid w:val="00203C08"/>
    <w:rsid w:val="002072DE"/>
    <w:rsid w:val="00210BA6"/>
    <w:rsid w:val="00211EDE"/>
    <w:rsid w:val="00211FC5"/>
    <w:rsid w:val="00213C9E"/>
    <w:rsid w:val="002162F8"/>
    <w:rsid w:val="002169D5"/>
    <w:rsid w:val="00217C69"/>
    <w:rsid w:val="00221370"/>
    <w:rsid w:val="00225AEF"/>
    <w:rsid w:val="002303BB"/>
    <w:rsid w:val="00231B2B"/>
    <w:rsid w:val="0023454C"/>
    <w:rsid w:val="002352A6"/>
    <w:rsid w:val="002421D6"/>
    <w:rsid w:val="00244666"/>
    <w:rsid w:val="00247A50"/>
    <w:rsid w:val="00247C46"/>
    <w:rsid w:val="002520E0"/>
    <w:rsid w:val="00253A1F"/>
    <w:rsid w:val="00254772"/>
    <w:rsid w:val="0025481B"/>
    <w:rsid w:val="00255295"/>
    <w:rsid w:val="002555CB"/>
    <w:rsid w:val="00260BFE"/>
    <w:rsid w:val="00264F6F"/>
    <w:rsid w:val="0027123B"/>
    <w:rsid w:val="00272B85"/>
    <w:rsid w:val="00274926"/>
    <w:rsid w:val="002763A4"/>
    <w:rsid w:val="0028005D"/>
    <w:rsid w:val="0028014D"/>
    <w:rsid w:val="0028269F"/>
    <w:rsid w:val="00286553"/>
    <w:rsid w:val="00286AF7"/>
    <w:rsid w:val="0029648B"/>
    <w:rsid w:val="002A021C"/>
    <w:rsid w:val="002A241A"/>
    <w:rsid w:val="002A2DD2"/>
    <w:rsid w:val="002A2EBB"/>
    <w:rsid w:val="002A348A"/>
    <w:rsid w:val="002A3F70"/>
    <w:rsid w:val="002A7C1E"/>
    <w:rsid w:val="002B4CD6"/>
    <w:rsid w:val="002B5FFC"/>
    <w:rsid w:val="002B6C55"/>
    <w:rsid w:val="002B6E72"/>
    <w:rsid w:val="002B75E6"/>
    <w:rsid w:val="002B7739"/>
    <w:rsid w:val="002C2C34"/>
    <w:rsid w:val="002C58B8"/>
    <w:rsid w:val="002C5EB9"/>
    <w:rsid w:val="002D26DA"/>
    <w:rsid w:val="002D311D"/>
    <w:rsid w:val="002D45DA"/>
    <w:rsid w:val="002D5875"/>
    <w:rsid w:val="002D5AD6"/>
    <w:rsid w:val="002E02E4"/>
    <w:rsid w:val="002E0E3A"/>
    <w:rsid w:val="002E5D25"/>
    <w:rsid w:val="002F1D6A"/>
    <w:rsid w:val="002F1E68"/>
    <w:rsid w:val="002F2856"/>
    <w:rsid w:val="002F3825"/>
    <w:rsid w:val="002F6EBB"/>
    <w:rsid w:val="00302971"/>
    <w:rsid w:val="00303655"/>
    <w:rsid w:val="0030625A"/>
    <w:rsid w:val="003070BA"/>
    <w:rsid w:val="00310911"/>
    <w:rsid w:val="00310CAC"/>
    <w:rsid w:val="003135AD"/>
    <w:rsid w:val="003153AD"/>
    <w:rsid w:val="00315BD3"/>
    <w:rsid w:val="00321B8C"/>
    <w:rsid w:val="00321F54"/>
    <w:rsid w:val="00323BA8"/>
    <w:rsid w:val="00323F5C"/>
    <w:rsid w:val="00324E1F"/>
    <w:rsid w:val="00325C4F"/>
    <w:rsid w:val="003262DB"/>
    <w:rsid w:val="003263FC"/>
    <w:rsid w:val="003267E7"/>
    <w:rsid w:val="003268B4"/>
    <w:rsid w:val="003279A1"/>
    <w:rsid w:val="00327E0F"/>
    <w:rsid w:val="00327EAD"/>
    <w:rsid w:val="00332288"/>
    <w:rsid w:val="00332C45"/>
    <w:rsid w:val="003342D5"/>
    <w:rsid w:val="00334A25"/>
    <w:rsid w:val="00335D9D"/>
    <w:rsid w:val="003373C8"/>
    <w:rsid w:val="003439C9"/>
    <w:rsid w:val="003441E2"/>
    <w:rsid w:val="003444DC"/>
    <w:rsid w:val="00345323"/>
    <w:rsid w:val="00347AF7"/>
    <w:rsid w:val="00350B2B"/>
    <w:rsid w:val="00350C21"/>
    <w:rsid w:val="00350D5C"/>
    <w:rsid w:val="00350F96"/>
    <w:rsid w:val="0035332D"/>
    <w:rsid w:val="0035367E"/>
    <w:rsid w:val="00356DD6"/>
    <w:rsid w:val="0036086E"/>
    <w:rsid w:val="00360F10"/>
    <w:rsid w:val="00363D68"/>
    <w:rsid w:val="003648B0"/>
    <w:rsid w:val="0036508A"/>
    <w:rsid w:val="003666C0"/>
    <w:rsid w:val="00366A07"/>
    <w:rsid w:val="003675D7"/>
    <w:rsid w:val="00372A8E"/>
    <w:rsid w:val="00372E1D"/>
    <w:rsid w:val="003738C1"/>
    <w:rsid w:val="00375546"/>
    <w:rsid w:val="00376F85"/>
    <w:rsid w:val="00377077"/>
    <w:rsid w:val="003774B9"/>
    <w:rsid w:val="0038019D"/>
    <w:rsid w:val="003853DB"/>
    <w:rsid w:val="00385ABC"/>
    <w:rsid w:val="0038728F"/>
    <w:rsid w:val="003933F6"/>
    <w:rsid w:val="00393CCD"/>
    <w:rsid w:val="00393E46"/>
    <w:rsid w:val="0039418E"/>
    <w:rsid w:val="00396058"/>
    <w:rsid w:val="00396465"/>
    <w:rsid w:val="003A325A"/>
    <w:rsid w:val="003A4999"/>
    <w:rsid w:val="003A544C"/>
    <w:rsid w:val="003A6605"/>
    <w:rsid w:val="003A75F1"/>
    <w:rsid w:val="003B1EF1"/>
    <w:rsid w:val="003B2026"/>
    <w:rsid w:val="003B2638"/>
    <w:rsid w:val="003B3F9E"/>
    <w:rsid w:val="003B403E"/>
    <w:rsid w:val="003B4A35"/>
    <w:rsid w:val="003B5212"/>
    <w:rsid w:val="003B6686"/>
    <w:rsid w:val="003B68C8"/>
    <w:rsid w:val="003B785A"/>
    <w:rsid w:val="003C0BB5"/>
    <w:rsid w:val="003C10FC"/>
    <w:rsid w:val="003C4AAB"/>
    <w:rsid w:val="003C5725"/>
    <w:rsid w:val="003C683A"/>
    <w:rsid w:val="003C68AB"/>
    <w:rsid w:val="003D09B5"/>
    <w:rsid w:val="003E0BA6"/>
    <w:rsid w:val="003E522E"/>
    <w:rsid w:val="003E54CB"/>
    <w:rsid w:val="003E634B"/>
    <w:rsid w:val="003E7038"/>
    <w:rsid w:val="003E7491"/>
    <w:rsid w:val="003F1F12"/>
    <w:rsid w:val="003F271C"/>
    <w:rsid w:val="003F72F8"/>
    <w:rsid w:val="00400681"/>
    <w:rsid w:val="0040154F"/>
    <w:rsid w:val="004041D3"/>
    <w:rsid w:val="00407726"/>
    <w:rsid w:val="00413C4E"/>
    <w:rsid w:val="0041577B"/>
    <w:rsid w:val="004167B0"/>
    <w:rsid w:val="004179BC"/>
    <w:rsid w:val="0042121D"/>
    <w:rsid w:val="00422F7F"/>
    <w:rsid w:val="00423A58"/>
    <w:rsid w:val="00432C4C"/>
    <w:rsid w:val="00433958"/>
    <w:rsid w:val="00433A0D"/>
    <w:rsid w:val="00436EC4"/>
    <w:rsid w:val="00437306"/>
    <w:rsid w:val="004413F4"/>
    <w:rsid w:val="004451D0"/>
    <w:rsid w:val="0044627D"/>
    <w:rsid w:val="0044661F"/>
    <w:rsid w:val="0045018D"/>
    <w:rsid w:val="00450EBD"/>
    <w:rsid w:val="0045192D"/>
    <w:rsid w:val="00454DEB"/>
    <w:rsid w:val="0045511D"/>
    <w:rsid w:val="00456742"/>
    <w:rsid w:val="00457057"/>
    <w:rsid w:val="00457B1B"/>
    <w:rsid w:val="00457D1C"/>
    <w:rsid w:val="00461D42"/>
    <w:rsid w:val="00462004"/>
    <w:rsid w:val="00463044"/>
    <w:rsid w:val="004642E5"/>
    <w:rsid w:val="00464799"/>
    <w:rsid w:val="00464930"/>
    <w:rsid w:val="0047231E"/>
    <w:rsid w:val="00472BFB"/>
    <w:rsid w:val="0047405E"/>
    <w:rsid w:val="004751C2"/>
    <w:rsid w:val="00476DD8"/>
    <w:rsid w:val="00480869"/>
    <w:rsid w:val="00480CDC"/>
    <w:rsid w:val="00482456"/>
    <w:rsid w:val="00486BD7"/>
    <w:rsid w:val="00490F9C"/>
    <w:rsid w:val="00497A15"/>
    <w:rsid w:val="00497B0D"/>
    <w:rsid w:val="004A027C"/>
    <w:rsid w:val="004A1F81"/>
    <w:rsid w:val="004A2A84"/>
    <w:rsid w:val="004A41E5"/>
    <w:rsid w:val="004A4902"/>
    <w:rsid w:val="004B01E1"/>
    <w:rsid w:val="004B067D"/>
    <w:rsid w:val="004B195F"/>
    <w:rsid w:val="004C2B28"/>
    <w:rsid w:val="004C37B4"/>
    <w:rsid w:val="004D1F96"/>
    <w:rsid w:val="004D298C"/>
    <w:rsid w:val="004D4C87"/>
    <w:rsid w:val="004D6252"/>
    <w:rsid w:val="004D73BA"/>
    <w:rsid w:val="004E057A"/>
    <w:rsid w:val="004E1E3A"/>
    <w:rsid w:val="004E5365"/>
    <w:rsid w:val="004E63A7"/>
    <w:rsid w:val="004F0BFF"/>
    <w:rsid w:val="004F0C24"/>
    <w:rsid w:val="004F1C4C"/>
    <w:rsid w:val="004F2668"/>
    <w:rsid w:val="004F4B1C"/>
    <w:rsid w:val="00500F10"/>
    <w:rsid w:val="005012F1"/>
    <w:rsid w:val="00501BD3"/>
    <w:rsid w:val="00504985"/>
    <w:rsid w:val="00504AC7"/>
    <w:rsid w:val="005060FC"/>
    <w:rsid w:val="005062D2"/>
    <w:rsid w:val="00506EE0"/>
    <w:rsid w:val="00510E0C"/>
    <w:rsid w:val="00514847"/>
    <w:rsid w:val="0051531D"/>
    <w:rsid w:val="005159BF"/>
    <w:rsid w:val="00516B7D"/>
    <w:rsid w:val="005224FB"/>
    <w:rsid w:val="005228D6"/>
    <w:rsid w:val="005231B8"/>
    <w:rsid w:val="00523715"/>
    <w:rsid w:val="00525717"/>
    <w:rsid w:val="00525A5D"/>
    <w:rsid w:val="005272DB"/>
    <w:rsid w:val="005277C0"/>
    <w:rsid w:val="00527F9A"/>
    <w:rsid w:val="00536700"/>
    <w:rsid w:val="00536A1A"/>
    <w:rsid w:val="00536DD7"/>
    <w:rsid w:val="0053770C"/>
    <w:rsid w:val="005378FE"/>
    <w:rsid w:val="005411DB"/>
    <w:rsid w:val="0054253D"/>
    <w:rsid w:val="0054378B"/>
    <w:rsid w:val="005533F6"/>
    <w:rsid w:val="00553E2E"/>
    <w:rsid w:val="005556CA"/>
    <w:rsid w:val="0055646A"/>
    <w:rsid w:val="00560569"/>
    <w:rsid w:val="005662C5"/>
    <w:rsid w:val="00571FD1"/>
    <w:rsid w:val="00573A61"/>
    <w:rsid w:val="00574E20"/>
    <w:rsid w:val="00577F90"/>
    <w:rsid w:val="0058377F"/>
    <w:rsid w:val="005849D6"/>
    <w:rsid w:val="00587572"/>
    <w:rsid w:val="00590C6C"/>
    <w:rsid w:val="00591560"/>
    <w:rsid w:val="00592F57"/>
    <w:rsid w:val="00595B09"/>
    <w:rsid w:val="0059608E"/>
    <w:rsid w:val="005A3AA8"/>
    <w:rsid w:val="005A4CDF"/>
    <w:rsid w:val="005A5E4E"/>
    <w:rsid w:val="005A72CB"/>
    <w:rsid w:val="005B28E5"/>
    <w:rsid w:val="005B3196"/>
    <w:rsid w:val="005B3AEF"/>
    <w:rsid w:val="005B6EBE"/>
    <w:rsid w:val="005C1793"/>
    <w:rsid w:val="005C35B4"/>
    <w:rsid w:val="005C50C8"/>
    <w:rsid w:val="005D0106"/>
    <w:rsid w:val="005D11CA"/>
    <w:rsid w:val="005D16FC"/>
    <w:rsid w:val="005D1829"/>
    <w:rsid w:val="005D1BA9"/>
    <w:rsid w:val="005D1F92"/>
    <w:rsid w:val="005D2C3A"/>
    <w:rsid w:val="005D3084"/>
    <w:rsid w:val="005D7109"/>
    <w:rsid w:val="005D78DA"/>
    <w:rsid w:val="005D7E59"/>
    <w:rsid w:val="005E1463"/>
    <w:rsid w:val="005E25F6"/>
    <w:rsid w:val="005E3750"/>
    <w:rsid w:val="005E405F"/>
    <w:rsid w:val="005E41CD"/>
    <w:rsid w:val="005E46F4"/>
    <w:rsid w:val="005E5089"/>
    <w:rsid w:val="005E6F80"/>
    <w:rsid w:val="005F00E5"/>
    <w:rsid w:val="005F0A48"/>
    <w:rsid w:val="005F516E"/>
    <w:rsid w:val="005F54A1"/>
    <w:rsid w:val="0060108F"/>
    <w:rsid w:val="0060368A"/>
    <w:rsid w:val="00603BB7"/>
    <w:rsid w:val="00604521"/>
    <w:rsid w:val="00606C82"/>
    <w:rsid w:val="0060791B"/>
    <w:rsid w:val="006109DC"/>
    <w:rsid w:val="00610DB5"/>
    <w:rsid w:val="0061103B"/>
    <w:rsid w:val="00612855"/>
    <w:rsid w:val="00612FA0"/>
    <w:rsid w:val="00613648"/>
    <w:rsid w:val="00613CA9"/>
    <w:rsid w:val="006141B2"/>
    <w:rsid w:val="0061479A"/>
    <w:rsid w:val="00615F4C"/>
    <w:rsid w:val="00616710"/>
    <w:rsid w:val="00616FD6"/>
    <w:rsid w:val="006179E5"/>
    <w:rsid w:val="00617BD2"/>
    <w:rsid w:val="006203B7"/>
    <w:rsid w:val="00621C5D"/>
    <w:rsid w:val="00621E1B"/>
    <w:rsid w:val="006236E3"/>
    <w:rsid w:val="00624314"/>
    <w:rsid w:val="006300F4"/>
    <w:rsid w:val="00631592"/>
    <w:rsid w:val="00635559"/>
    <w:rsid w:val="00635ACF"/>
    <w:rsid w:val="00636073"/>
    <w:rsid w:val="00636FAD"/>
    <w:rsid w:val="00643D9B"/>
    <w:rsid w:val="00644028"/>
    <w:rsid w:val="0064502E"/>
    <w:rsid w:val="0064520E"/>
    <w:rsid w:val="00645F84"/>
    <w:rsid w:val="0064776F"/>
    <w:rsid w:val="00647779"/>
    <w:rsid w:val="006502B0"/>
    <w:rsid w:val="00650913"/>
    <w:rsid w:val="006519A9"/>
    <w:rsid w:val="00651F60"/>
    <w:rsid w:val="00652260"/>
    <w:rsid w:val="00653336"/>
    <w:rsid w:val="00653B6D"/>
    <w:rsid w:val="0065418E"/>
    <w:rsid w:val="00655001"/>
    <w:rsid w:val="006552CD"/>
    <w:rsid w:val="00660426"/>
    <w:rsid w:val="00661DD6"/>
    <w:rsid w:val="00662F79"/>
    <w:rsid w:val="00665441"/>
    <w:rsid w:val="0066608D"/>
    <w:rsid w:val="00666E2D"/>
    <w:rsid w:val="00667D4B"/>
    <w:rsid w:val="00671707"/>
    <w:rsid w:val="0067183C"/>
    <w:rsid w:val="00674694"/>
    <w:rsid w:val="00677564"/>
    <w:rsid w:val="00677A2B"/>
    <w:rsid w:val="006827A5"/>
    <w:rsid w:val="0068496D"/>
    <w:rsid w:val="00684CAC"/>
    <w:rsid w:val="00692117"/>
    <w:rsid w:val="006944CA"/>
    <w:rsid w:val="006959C9"/>
    <w:rsid w:val="0069635F"/>
    <w:rsid w:val="00697143"/>
    <w:rsid w:val="00697C0E"/>
    <w:rsid w:val="006A0019"/>
    <w:rsid w:val="006A06F6"/>
    <w:rsid w:val="006A1087"/>
    <w:rsid w:val="006A175E"/>
    <w:rsid w:val="006A4A18"/>
    <w:rsid w:val="006B2C5E"/>
    <w:rsid w:val="006B602C"/>
    <w:rsid w:val="006B77A7"/>
    <w:rsid w:val="006B7B55"/>
    <w:rsid w:val="006C1BDE"/>
    <w:rsid w:val="006C25F1"/>
    <w:rsid w:val="006C3002"/>
    <w:rsid w:val="006C3E04"/>
    <w:rsid w:val="006C51E4"/>
    <w:rsid w:val="006C5F8E"/>
    <w:rsid w:val="006D12F2"/>
    <w:rsid w:val="006D6A98"/>
    <w:rsid w:val="006E31BD"/>
    <w:rsid w:val="006E33CF"/>
    <w:rsid w:val="006E651B"/>
    <w:rsid w:val="006F04C5"/>
    <w:rsid w:val="006F1165"/>
    <w:rsid w:val="006F36B7"/>
    <w:rsid w:val="006F396E"/>
    <w:rsid w:val="006F4DDF"/>
    <w:rsid w:val="006F728D"/>
    <w:rsid w:val="006F797F"/>
    <w:rsid w:val="00701767"/>
    <w:rsid w:val="007046FC"/>
    <w:rsid w:val="00705FBE"/>
    <w:rsid w:val="007065E1"/>
    <w:rsid w:val="007072E1"/>
    <w:rsid w:val="0070756F"/>
    <w:rsid w:val="007111D4"/>
    <w:rsid w:val="00711B61"/>
    <w:rsid w:val="00712510"/>
    <w:rsid w:val="00723268"/>
    <w:rsid w:val="00725DB1"/>
    <w:rsid w:val="00726318"/>
    <w:rsid w:val="00727D57"/>
    <w:rsid w:val="007309EB"/>
    <w:rsid w:val="007318F0"/>
    <w:rsid w:val="00734E89"/>
    <w:rsid w:val="0074012F"/>
    <w:rsid w:val="00742FC3"/>
    <w:rsid w:val="00743A89"/>
    <w:rsid w:val="00743F84"/>
    <w:rsid w:val="0075165B"/>
    <w:rsid w:val="00751808"/>
    <w:rsid w:val="00752024"/>
    <w:rsid w:val="00754B3E"/>
    <w:rsid w:val="00756134"/>
    <w:rsid w:val="00757941"/>
    <w:rsid w:val="00760CF4"/>
    <w:rsid w:val="00764991"/>
    <w:rsid w:val="0076511B"/>
    <w:rsid w:val="00765732"/>
    <w:rsid w:val="007657D1"/>
    <w:rsid w:val="00767C6B"/>
    <w:rsid w:val="007709B7"/>
    <w:rsid w:val="00774010"/>
    <w:rsid w:val="00774C50"/>
    <w:rsid w:val="00775151"/>
    <w:rsid w:val="00775668"/>
    <w:rsid w:val="00780346"/>
    <w:rsid w:val="00781E56"/>
    <w:rsid w:val="007861BA"/>
    <w:rsid w:val="00786A3D"/>
    <w:rsid w:val="00787F33"/>
    <w:rsid w:val="0079031B"/>
    <w:rsid w:val="00790A3E"/>
    <w:rsid w:val="00792780"/>
    <w:rsid w:val="007966FB"/>
    <w:rsid w:val="007978B8"/>
    <w:rsid w:val="00797DA9"/>
    <w:rsid w:val="00797E37"/>
    <w:rsid w:val="007A07D9"/>
    <w:rsid w:val="007A0D4F"/>
    <w:rsid w:val="007A17E5"/>
    <w:rsid w:val="007A3C29"/>
    <w:rsid w:val="007A409D"/>
    <w:rsid w:val="007A43A9"/>
    <w:rsid w:val="007A48CE"/>
    <w:rsid w:val="007A7CE7"/>
    <w:rsid w:val="007B0F01"/>
    <w:rsid w:val="007B21B6"/>
    <w:rsid w:val="007B2CEC"/>
    <w:rsid w:val="007B6383"/>
    <w:rsid w:val="007B762C"/>
    <w:rsid w:val="007C0F11"/>
    <w:rsid w:val="007C2168"/>
    <w:rsid w:val="007C4C10"/>
    <w:rsid w:val="007C7030"/>
    <w:rsid w:val="007D010F"/>
    <w:rsid w:val="007F5FFB"/>
    <w:rsid w:val="007F6713"/>
    <w:rsid w:val="008019F3"/>
    <w:rsid w:val="008028DA"/>
    <w:rsid w:val="0080483B"/>
    <w:rsid w:val="00805662"/>
    <w:rsid w:val="00810388"/>
    <w:rsid w:val="00810685"/>
    <w:rsid w:val="00811D20"/>
    <w:rsid w:val="00812C17"/>
    <w:rsid w:val="00812D0A"/>
    <w:rsid w:val="00813569"/>
    <w:rsid w:val="008176D4"/>
    <w:rsid w:val="00817AA7"/>
    <w:rsid w:val="008250D4"/>
    <w:rsid w:val="00825169"/>
    <w:rsid w:val="0082517F"/>
    <w:rsid w:val="008272CB"/>
    <w:rsid w:val="00830DCB"/>
    <w:rsid w:val="00833593"/>
    <w:rsid w:val="008346F9"/>
    <w:rsid w:val="00836830"/>
    <w:rsid w:val="008370A1"/>
    <w:rsid w:val="00840BBD"/>
    <w:rsid w:val="0084140C"/>
    <w:rsid w:val="00843EDD"/>
    <w:rsid w:val="008461BB"/>
    <w:rsid w:val="00846E75"/>
    <w:rsid w:val="008503AA"/>
    <w:rsid w:val="00854ACC"/>
    <w:rsid w:val="008551C3"/>
    <w:rsid w:val="00857FD5"/>
    <w:rsid w:val="008605AA"/>
    <w:rsid w:val="00861139"/>
    <w:rsid w:val="008639C3"/>
    <w:rsid w:val="00865FCE"/>
    <w:rsid w:val="00867309"/>
    <w:rsid w:val="00870F50"/>
    <w:rsid w:val="00871641"/>
    <w:rsid w:val="00873705"/>
    <w:rsid w:val="008744DA"/>
    <w:rsid w:val="0087456D"/>
    <w:rsid w:val="00876D26"/>
    <w:rsid w:val="00880645"/>
    <w:rsid w:val="00883DBB"/>
    <w:rsid w:val="00884912"/>
    <w:rsid w:val="00884C8C"/>
    <w:rsid w:val="008856B3"/>
    <w:rsid w:val="008925A8"/>
    <w:rsid w:val="0089385D"/>
    <w:rsid w:val="00894124"/>
    <w:rsid w:val="00895D92"/>
    <w:rsid w:val="0089617B"/>
    <w:rsid w:val="00896637"/>
    <w:rsid w:val="00896713"/>
    <w:rsid w:val="008A15DA"/>
    <w:rsid w:val="008A6A64"/>
    <w:rsid w:val="008B133A"/>
    <w:rsid w:val="008B1716"/>
    <w:rsid w:val="008B1966"/>
    <w:rsid w:val="008B1991"/>
    <w:rsid w:val="008B60C3"/>
    <w:rsid w:val="008C00E1"/>
    <w:rsid w:val="008C0220"/>
    <w:rsid w:val="008C06B5"/>
    <w:rsid w:val="008C10C0"/>
    <w:rsid w:val="008C1FF5"/>
    <w:rsid w:val="008C5CD3"/>
    <w:rsid w:val="008C5D14"/>
    <w:rsid w:val="008C6955"/>
    <w:rsid w:val="008C7DB0"/>
    <w:rsid w:val="008D06DA"/>
    <w:rsid w:val="008D1997"/>
    <w:rsid w:val="008D290A"/>
    <w:rsid w:val="008D2C67"/>
    <w:rsid w:val="008D4368"/>
    <w:rsid w:val="008E242E"/>
    <w:rsid w:val="008E2E29"/>
    <w:rsid w:val="008E3455"/>
    <w:rsid w:val="008E3612"/>
    <w:rsid w:val="008E3695"/>
    <w:rsid w:val="008E38AE"/>
    <w:rsid w:val="008E4A50"/>
    <w:rsid w:val="008F198E"/>
    <w:rsid w:val="008F2186"/>
    <w:rsid w:val="008F2F98"/>
    <w:rsid w:val="008F37BA"/>
    <w:rsid w:val="008F5C2F"/>
    <w:rsid w:val="00901339"/>
    <w:rsid w:val="00901D20"/>
    <w:rsid w:val="00904C70"/>
    <w:rsid w:val="0090547B"/>
    <w:rsid w:val="00905804"/>
    <w:rsid w:val="009069C9"/>
    <w:rsid w:val="00906F5F"/>
    <w:rsid w:val="00907A92"/>
    <w:rsid w:val="00911C66"/>
    <w:rsid w:val="009122CE"/>
    <w:rsid w:val="00913F7D"/>
    <w:rsid w:val="00914B4E"/>
    <w:rsid w:val="009164C6"/>
    <w:rsid w:val="00916B9C"/>
    <w:rsid w:val="009172A1"/>
    <w:rsid w:val="00922172"/>
    <w:rsid w:val="00922BDD"/>
    <w:rsid w:val="009234EB"/>
    <w:rsid w:val="009235DE"/>
    <w:rsid w:val="009237E6"/>
    <w:rsid w:val="00925E8A"/>
    <w:rsid w:val="00930244"/>
    <w:rsid w:val="0093202F"/>
    <w:rsid w:val="009321B8"/>
    <w:rsid w:val="00933123"/>
    <w:rsid w:val="00943A67"/>
    <w:rsid w:val="00945925"/>
    <w:rsid w:val="0094762B"/>
    <w:rsid w:val="00947BF0"/>
    <w:rsid w:val="00947D0F"/>
    <w:rsid w:val="00950820"/>
    <w:rsid w:val="00950A4D"/>
    <w:rsid w:val="00951E55"/>
    <w:rsid w:val="0095274E"/>
    <w:rsid w:val="009566EB"/>
    <w:rsid w:val="00956F79"/>
    <w:rsid w:val="00957E43"/>
    <w:rsid w:val="00966E71"/>
    <w:rsid w:val="00967345"/>
    <w:rsid w:val="00971337"/>
    <w:rsid w:val="00972591"/>
    <w:rsid w:val="0097300A"/>
    <w:rsid w:val="0097412F"/>
    <w:rsid w:val="00976FA8"/>
    <w:rsid w:val="00977073"/>
    <w:rsid w:val="00977A23"/>
    <w:rsid w:val="009806F7"/>
    <w:rsid w:val="00982CA2"/>
    <w:rsid w:val="009836C5"/>
    <w:rsid w:val="0098458A"/>
    <w:rsid w:val="00985009"/>
    <w:rsid w:val="0098526B"/>
    <w:rsid w:val="0098558D"/>
    <w:rsid w:val="00985E38"/>
    <w:rsid w:val="00986171"/>
    <w:rsid w:val="00987389"/>
    <w:rsid w:val="009874E3"/>
    <w:rsid w:val="00992276"/>
    <w:rsid w:val="0099523D"/>
    <w:rsid w:val="0099546D"/>
    <w:rsid w:val="00995A16"/>
    <w:rsid w:val="0099629D"/>
    <w:rsid w:val="009A1DC6"/>
    <w:rsid w:val="009A3634"/>
    <w:rsid w:val="009A5452"/>
    <w:rsid w:val="009A626E"/>
    <w:rsid w:val="009A66EA"/>
    <w:rsid w:val="009B040C"/>
    <w:rsid w:val="009B0466"/>
    <w:rsid w:val="009B06F9"/>
    <w:rsid w:val="009B35DF"/>
    <w:rsid w:val="009B3C68"/>
    <w:rsid w:val="009B48FD"/>
    <w:rsid w:val="009B5844"/>
    <w:rsid w:val="009B5FC4"/>
    <w:rsid w:val="009B75B5"/>
    <w:rsid w:val="009C2317"/>
    <w:rsid w:val="009C65E8"/>
    <w:rsid w:val="009C7613"/>
    <w:rsid w:val="009D52E0"/>
    <w:rsid w:val="009D6161"/>
    <w:rsid w:val="009D69F8"/>
    <w:rsid w:val="009E10A7"/>
    <w:rsid w:val="009E14BC"/>
    <w:rsid w:val="009E5DDA"/>
    <w:rsid w:val="009F05A8"/>
    <w:rsid w:val="009F0749"/>
    <w:rsid w:val="009F1642"/>
    <w:rsid w:val="009F3BE8"/>
    <w:rsid w:val="009F58F1"/>
    <w:rsid w:val="009F6265"/>
    <w:rsid w:val="00A01489"/>
    <w:rsid w:val="00A0454C"/>
    <w:rsid w:val="00A05380"/>
    <w:rsid w:val="00A05C7B"/>
    <w:rsid w:val="00A07F81"/>
    <w:rsid w:val="00A11202"/>
    <w:rsid w:val="00A13DB1"/>
    <w:rsid w:val="00A14046"/>
    <w:rsid w:val="00A144D7"/>
    <w:rsid w:val="00A147C5"/>
    <w:rsid w:val="00A14CEC"/>
    <w:rsid w:val="00A15D44"/>
    <w:rsid w:val="00A2064C"/>
    <w:rsid w:val="00A21E72"/>
    <w:rsid w:val="00A2380A"/>
    <w:rsid w:val="00A252C0"/>
    <w:rsid w:val="00A25508"/>
    <w:rsid w:val="00A257FC"/>
    <w:rsid w:val="00A2674B"/>
    <w:rsid w:val="00A27E96"/>
    <w:rsid w:val="00A30F48"/>
    <w:rsid w:val="00A30FCD"/>
    <w:rsid w:val="00A32BAF"/>
    <w:rsid w:val="00A3540A"/>
    <w:rsid w:val="00A357ED"/>
    <w:rsid w:val="00A406D8"/>
    <w:rsid w:val="00A412F4"/>
    <w:rsid w:val="00A43DE9"/>
    <w:rsid w:val="00A43E1D"/>
    <w:rsid w:val="00A44076"/>
    <w:rsid w:val="00A4642D"/>
    <w:rsid w:val="00A46D99"/>
    <w:rsid w:val="00A47961"/>
    <w:rsid w:val="00A53204"/>
    <w:rsid w:val="00A53A03"/>
    <w:rsid w:val="00A54CBE"/>
    <w:rsid w:val="00A5526C"/>
    <w:rsid w:val="00A56F8D"/>
    <w:rsid w:val="00A62031"/>
    <w:rsid w:val="00A64489"/>
    <w:rsid w:val="00A64ED0"/>
    <w:rsid w:val="00A72ED1"/>
    <w:rsid w:val="00A735C5"/>
    <w:rsid w:val="00A7363D"/>
    <w:rsid w:val="00A760BD"/>
    <w:rsid w:val="00A77833"/>
    <w:rsid w:val="00A816EF"/>
    <w:rsid w:val="00A818D8"/>
    <w:rsid w:val="00A848BF"/>
    <w:rsid w:val="00A86C4C"/>
    <w:rsid w:val="00A94468"/>
    <w:rsid w:val="00AA29F6"/>
    <w:rsid w:val="00AA2B89"/>
    <w:rsid w:val="00AA5C74"/>
    <w:rsid w:val="00AA6050"/>
    <w:rsid w:val="00AA6832"/>
    <w:rsid w:val="00AB3180"/>
    <w:rsid w:val="00AB34A3"/>
    <w:rsid w:val="00AB367C"/>
    <w:rsid w:val="00AB5328"/>
    <w:rsid w:val="00AC088F"/>
    <w:rsid w:val="00AC12CE"/>
    <w:rsid w:val="00AC13FC"/>
    <w:rsid w:val="00AC1D07"/>
    <w:rsid w:val="00AC5C6A"/>
    <w:rsid w:val="00AC763E"/>
    <w:rsid w:val="00AD37CA"/>
    <w:rsid w:val="00AD6409"/>
    <w:rsid w:val="00AD66BD"/>
    <w:rsid w:val="00AD72FA"/>
    <w:rsid w:val="00AD7AC0"/>
    <w:rsid w:val="00AE0864"/>
    <w:rsid w:val="00AE0AA5"/>
    <w:rsid w:val="00AE3BF2"/>
    <w:rsid w:val="00AE4739"/>
    <w:rsid w:val="00AE5DDC"/>
    <w:rsid w:val="00AE7392"/>
    <w:rsid w:val="00AF051C"/>
    <w:rsid w:val="00AF24DE"/>
    <w:rsid w:val="00AF2F03"/>
    <w:rsid w:val="00AF3363"/>
    <w:rsid w:val="00AF58C9"/>
    <w:rsid w:val="00B002DC"/>
    <w:rsid w:val="00B04457"/>
    <w:rsid w:val="00B04655"/>
    <w:rsid w:val="00B05956"/>
    <w:rsid w:val="00B05F4E"/>
    <w:rsid w:val="00B067D2"/>
    <w:rsid w:val="00B070B6"/>
    <w:rsid w:val="00B1042E"/>
    <w:rsid w:val="00B10F9A"/>
    <w:rsid w:val="00B123D3"/>
    <w:rsid w:val="00B14328"/>
    <w:rsid w:val="00B14421"/>
    <w:rsid w:val="00B14B7E"/>
    <w:rsid w:val="00B14EDA"/>
    <w:rsid w:val="00B15D80"/>
    <w:rsid w:val="00B1730A"/>
    <w:rsid w:val="00B17903"/>
    <w:rsid w:val="00B22F32"/>
    <w:rsid w:val="00B231F8"/>
    <w:rsid w:val="00B24A1E"/>
    <w:rsid w:val="00B26FBD"/>
    <w:rsid w:val="00B310C8"/>
    <w:rsid w:val="00B3397F"/>
    <w:rsid w:val="00B346D7"/>
    <w:rsid w:val="00B35769"/>
    <w:rsid w:val="00B36B2E"/>
    <w:rsid w:val="00B40BCC"/>
    <w:rsid w:val="00B43138"/>
    <w:rsid w:val="00B43D6C"/>
    <w:rsid w:val="00B44FDF"/>
    <w:rsid w:val="00B46D5E"/>
    <w:rsid w:val="00B46E62"/>
    <w:rsid w:val="00B51086"/>
    <w:rsid w:val="00B51A34"/>
    <w:rsid w:val="00B524AC"/>
    <w:rsid w:val="00B530D5"/>
    <w:rsid w:val="00B53363"/>
    <w:rsid w:val="00B55CD7"/>
    <w:rsid w:val="00B56ED9"/>
    <w:rsid w:val="00B57F70"/>
    <w:rsid w:val="00B655A5"/>
    <w:rsid w:val="00B66B27"/>
    <w:rsid w:val="00B67A5C"/>
    <w:rsid w:val="00B70208"/>
    <w:rsid w:val="00B741E6"/>
    <w:rsid w:val="00B746B8"/>
    <w:rsid w:val="00B74DD3"/>
    <w:rsid w:val="00B763EB"/>
    <w:rsid w:val="00B77B0B"/>
    <w:rsid w:val="00B80B83"/>
    <w:rsid w:val="00B81A24"/>
    <w:rsid w:val="00B8412A"/>
    <w:rsid w:val="00B84AA9"/>
    <w:rsid w:val="00B86641"/>
    <w:rsid w:val="00B87A34"/>
    <w:rsid w:val="00B91B67"/>
    <w:rsid w:val="00B935E1"/>
    <w:rsid w:val="00B93F67"/>
    <w:rsid w:val="00B95293"/>
    <w:rsid w:val="00B97D98"/>
    <w:rsid w:val="00BA2B91"/>
    <w:rsid w:val="00BA3308"/>
    <w:rsid w:val="00BA69BD"/>
    <w:rsid w:val="00BB053E"/>
    <w:rsid w:val="00BB189A"/>
    <w:rsid w:val="00BB2EEA"/>
    <w:rsid w:val="00BB45EF"/>
    <w:rsid w:val="00BB55F1"/>
    <w:rsid w:val="00BB5A0F"/>
    <w:rsid w:val="00BC21EA"/>
    <w:rsid w:val="00BC38A4"/>
    <w:rsid w:val="00BC3AD8"/>
    <w:rsid w:val="00BC4D21"/>
    <w:rsid w:val="00BD1105"/>
    <w:rsid w:val="00BD4159"/>
    <w:rsid w:val="00BD44B9"/>
    <w:rsid w:val="00BD486E"/>
    <w:rsid w:val="00BD67A6"/>
    <w:rsid w:val="00BE2C2B"/>
    <w:rsid w:val="00BE502C"/>
    <w:rsid w:val="00BE555F"/>
    <w:rsid w:val="00BE589D"/>
    <w:rsid w:val="00BE786A"/>
    <w:rsid w:val="00BF17F5"/>
    <w:rsid w:val="00BF17FC"/>
    <w:rsid w:val="00BF4A54"/>
    <w:rsid w:val="00BF4FE9"/>
    <w:rsid w:val="00BF576F"/>
    <w:rsid w:val="00BF58E9"/>
    <w:rsid w:val="00C04237"/>
    <w:rsid w:val="00C05596"/>
    <w:rsid w:val="00C061E7"/>
    <w:rsid w:val="00C06662"/>
    <w:rsid w:val="00C0675A"/>
    <w:rsid w:val="00C11F67"/>
    <w:rsid w:val="00C12C23"/>
    <w:rsid w:val="00C1421C"/>
    <w:rsid w:val="00C17141"/>
    <w:rsid w:val="00C1735B"/>
    <w:rsid w:val="00C178E0"/>
    <w:rsid w:val="00C17AA8"/>
    <w:rsid w:val="00C203D3"/>
    <w:rsid w:val="00C2107C"/>
    <w:rsid w:val="00C216FB"/>
    <w:rsid w:val="00C224A8"/>
    <w:rsid w:val="00C225F3"/>
    <w:rsid w:val="00C23B68"/>
    <w:rsid w:val="00C2474A"/>
    <w:rsid w:val="00C25245"/>
    <w:rsid w:val="00C2652A"/>
    <w:rsid w:val="00C33C9E"/>
    <w:rsid w:val="00C343E0"/>
    <w:rsid w:val="00C36788"/>
    <w:rsid w:val="00C36F2D"/>
    <w:rsid w:val="00C41E68"/>
    <w:rsid w:val="00C45FEF"/>
    <w:rsid w:val="00C46BB5"/>
    <w:rsid w:val="00C50235"/>
    <w:rsid w:val="00C504C5"/>
    <w:rsid w:val="00C50C2B"/>
    <w:rsid w:val="00C50D34"/>
    <w:rsid w:val="00C5233F"/>
    <w:rsid w:val="00C54EF0"/>
    <w:rsid w:val="00C55BFF"/>
    <w:rsid w:val="00C62B87"/>
    <w:rsid w:val="00C64C7C"/>
    <w:rsid w:val="00C67B5B"/>
    <w:rsid w:val="00C7187E"/>
    <w:rsid w:val="00C71E64"/>
    <w:rsid w:val="00C73D76"/>
    <w:rsid w:val="00C7561E"/>
    <w:rsid w:val="00C77704"/>
    <w:rsid w:val="00C80091"/>
    <w:rsid w:val="00C80D59"/>
    <w:rsid w:val="00C82A57"/>
    <w:rsid w:val="00C85851"/>
    <w:rsid w:val="00C86D6C"/>
    <w:rsid w:val="00C87DB9"/>
    <w:rsid w:val="00C87F03"/>
    <w:rsid w:val="00C9144A"/>
    <w:rsid w:val="00C92918"/>
    <w:rsid w:val="00C92959"/>
    <w:rsid w:val="00C93CAA"/>
    <w:rsid w:val="00C94543"/>
    <w:rsid w:val="00C94800"/>
    <w:rsid w:val="00C958BC"/>
    <w:rsid w:val="00C9601A"/>
    <w:rsid w:val="00C97EA9"/>
    <w:rsid w:val="00CA0311"/>
    <w:rsid w:val="00CA054B"/>
    <w:rsid w:val="00CA1717"/>
    <w:rsid w:val="00CA1AEB"/>
    <w:rsid w:val="00CA1C2A"/>
    <w:rsid w:val="00CA29E4"/>
    <w:rsid w:val="00CA5CDB"/>
    <w:rsid w:val="00CA68F3"/>
    <w:rsid w:val="00CA6CFD"/>
    <w:rsid w:val="00CB3588"/>
    <w:rsid w:val="00CB51C5"/>
    <w:rsid w:val="00CB5255"/>
    <w:rsid w:val="00CB5CD3"/>
    <w:rsid w:val="00CB6139"/>
    <w:rsid w:val="00CB6634"/>
    <w:rsid w:val="00CB758D"/>
    <w:rsid w:val="00CC022F"/>
    <w:rsid w:val="00CC0B4D"/>
    <w:rsid w:val="00CC545A"/>
    <w:rsid w:val="00CD3934"/>
    <w:rsid w:val="00CD3B13"/>
    <w:rsid w:val="00CD6182"/>
    <w:rsid w:val="00CE32D6"/>
    <w:rsid w:val="00CE4BE4"/>
    <w:rsid w:val="00CE4D5F"/>
    <w:rsid w:val="00CE7728"/>
    <w:rsid w:val="00CE7B47"/>
    <w:rsid w:val="00CE7C36"/>
    <w:rsid w:val="00CF4EFC"/>
    <w:rsid w:val="00CF5B54"/>
    <w:rsid w:val="00CF6285"/>
    <w:rsid w:val="00CF6D5E"/>
    <w:rsid w:val="00D012CC"/>
    <w:rsid w:val="00D10204"/>
    <w:rsid w:val="00D11193"/>
    <w:rsid w:val="00D11F55"/>
    <w:rsid w:val="00D139B2"/>
    <w:rsid w:val="00D14F1A"/>
    <w:rsid w:val="00D159FC"/>
    <w:rsid w:val="00D1734A"/>
    <w:rsid w:val="00D24EEC"/>
    <w:rsid w:val="00D26BC8"/>
    <w:rsid w:val="00D33878"/>
    <w:rsid w:val="00D348E4"/>
    <w:rsid w:val="00D36FF0"/>
    <w:rsid w:val="00D40154"/>
    <w:rsid w:val="00D41821"/>
    <w:rsid w:val="00D4327F"/>
    <w:rsid w:val="00D4432F"/>
    <w:rsid w:val="00D44F6E"/>
    <w:rsid w:val="00D45A95"/>
    <w:rsid w:val="00D53100"/>
    <w:rsid w:val="00D53199"/>
    <w:rsid w:val="00D6241D"/>
    <w:rsid w:val="00D64113"/>
    <w:rsid w:val="00D64641"/>
    <w:rsid w:val="00D67D46"/>
    <w:rsid w:val="00D723D7"/>
    <w:rsid w:val="00D736EE"/>
    <w:rsid w:val="00D758B9"/>
    <w:rsid w:val="00D75D5E"/>
    <w:rsid w:val="00D76ECC"/>
    <w:rsid w:val="00D772AE"/>
    <w:rsid w:val="00D81B83"/>
    <w:rsid w:val="00D912B5"/>
    <w:rsid w:val="00D914EB"/>
    <w:rsid w:val="00D93469"/>
    <w:rsid w:val="00D9499D"/>
    <w:rsid w:val="00D96972"/>
    <w:rsid w:val="00DA07D6"/>
    <w:rsid w:val="00DA1782"/>
    <w:rsid w:val="00DB15CC"/>
    <w:rsid w:val="00DB1F0F"/>
    <w:rsid w:val="00DB3790"/>
    <w:rsid w:val="00DB4AEB"/>
    <w:rsid w:val="00DB5288"/>
    <w:rsid w:val="00DB79DA"/>
    <w:rsid w:val="00DC2B78"/>
    <w:rsid w:val="00DC2E36"/>
    <w:rsid w:val="00DC2E90"/>
    <w:rsid w:val="00DC36A3"/>
    <w:rsid w:val="00DC536C"/>
    <w:rsid w:val="00DC574E"/>
    <w:rsid w:val="00DC5FE5"/>
    <w:rsid w:val="00DC6069"/>
    <w:rsid w:val="00DC7990"/>
    <w:rsid w:val="00DD00B8"/>
    <w:rsid w:val="00DD20C4"/>
    <w:rsid w:val="00DD3182"/>
    <w:rsid w:val="00DD3BCB"/>
    <w:rsid w:val="00DD485D"/>
    <w:rsid w:val="00DD4D80"/>
    <w:rsid w:val="00DD5322"/>
    <w:rsid w:val="00DD57CB"/>
    <w:rsid w:val="00DD6606"/>
    <w:rsid w:val="00DE4FF3"/>
    <w:rsid w:val="00DE565B"/>
    <w:rsid w:val="00DE5760"/>
    <w:rsid w:val="00DE5DDA"/>
    <w:rsid w:val="00DF2231"/>
    <w:rsid w:val="00DF27A4"/>
    <w:rsid w:val="00DF2C1A"/>
    <w:rsid w:val="00DF4C22"/>
    <w:rsid w:val="00DF6FF1"/>
    <w:rsid w:val="00E01B01"/>
    <w:rsid w:val="00E0491A"/>
    <w:rsid w:val="00E0662C"/>
    <w:rsid w:val="00E06FE3"/>
    <w:rsid w:val="00E10F4D"/>
    <w:rsid w:val="00E11D07"/>
    <w:rsid w:val="00E205FD"/>
    <w:rsid w:val="00E20C0A"/>
    <w:rsid w:val="00E21C25"/>
    <w:rsid w:val="00E2675E"/>
    <w:rsid w:val="00E35018"/>
    <w:rsid w:val="00E36558"/>
    <w:rsid w:val="00E41F8E"/>
    <w:rsid w:val="00E424DC"/>
    <w:rsid w:val="00E44221"/>
    <w:rsid w:val="00E45460"/>
    <w:rsid w:val="00E4610E"/>
    <w:rsid w:val="00E47D21"/>
    <w:rsid w:val="00E535D4"/>
    <w:rsid w:val="00E54060"/>
    <w:rsid w:val="00E54293"/>
    <w:rsid w:val="00E554E6"/>
    <w:rsid w:val="00E64CA7"/>
    <w:rsid w:val="00E65069"/>
    <w:rsid w:val="00E672EC"/>
    <w:rsid w:val="00E74208"/>
    <w:rsid w:val="00E74B0B"/>
    <w:rsid w:val="00E74B3E"/>
    <w:rsid w:val="00E7660C"/>
    <w:rsid w:val="00E77030"/>
    <w:rsid w:val="00E773F6"/>
    <w:rsid w:val="00E80330"/>
    <w:rsid w:val="00E84450"/>
    <w:rsid w:val="00E849F4"/>
    <w:rsid w:val="00E902BB"/>
    <w:rsid w:val="00E91506"/>
    <w:rsid w:val="00E918BA"/>
    <w:rsid w:val="00E920EB"/>
    <w:rsid w:val="00E958A2"/>
    <w:rsid w:val="00E96375"/>
    <w:rsid w:val="00E97392"/>
    <w:rsid w:val="00EA25A5"/>
    <w:rsid w:val="00EA4BC3"/>
    <w:rsid w:val="00EA6E64"/>
    <w:rsid w:val="00EB0923"/>
    <w:rsid w:val="00EB2763"/>
    <w:rsid w:val="00EB5C85"/>
    <w:rsid w:val="00EC0289"/>
    <w:rsid w:val="00ED07D4"/>
    <w:rsid w:val="00ED174B"/>
    <w:rsid w:val="00ED47FD"/>
    <w:rsid w:val="00ED69AF"/>
    <w:rsid w:val="00ED6F7A"/>
    <w:rsid w:val="00EE021A"/>
    <w:rsid w:val="00EE04D6"/>
    <w:rsid w:val="00EE1C3C"/>
    <w:rsid w:val="00EE68DB"/>
    <w:rsid w:val="00EE7ACA"/>
    <w:rsid w:val="00EF2761"/>
    <w:rsid w:val="00EF490C"/>
    <w:rsid w:val="00F01F6E"/>
    <w:rsid w:val="00F03F03"/>
    <w:rsid w:val="00F04903"/>
    <w:rsid w:val="00F103A1"/>
    <w:rsid w:val="00F126B3"/>
    <w:rsid w:val="00F12C8D"/>
    <w:rsid w:val="00F13076"/>
    <w:rsid w:val="00F14D5F"/>
    <w:rsid w:val="00F17F92"/>
    <w:rsid w:val="00F226F4"/>
    <w:rsid w:val="00F25A17"/>
    <w:rsid w:val="00F26A2D"/>
    <w:rsid w:val="00F26EA8"/>
    <w:rsid w:val="00F3009A"/>
    <w:rsid w:val="00F33205"/>
    <w:rsid w:val="00F33CE5"/>
    <w:rsid w:val="00F34B6A"/>
    <w:rsid w:val="00F35F0A"/>
    <w:rsid w:val="00F3729C"/>
    <w:rsid w:val="00F37BDD"/>
    <w:rsid w:val="00F41615"/>
    <w:rsid w:val="00F43159"/>
    <w:rsid w:val="00F4454D"/>
    <w:rsid w:val="00F445A1"/>
    <w:rsid w:val="00F447AA"/>
    <w:rsid w:val="00F52918"/>
    <w:rsid w:val="00F54178"/>
    <w:rsid w:val="00F5752F"/>
    <w:rsid w:val="00F61657"/>
    <w:rsid w:val="00F62249"/>
    <w:rsid w:val="00F62B88"/>
    <w:rsid w:val="00F63598"/>
    <w:rsid w:val="00F635CF"/>
    <w:rsid w:val="00F64CB8"/>
    <w:rsid w:val="00F65F27"/>
    <w:rsid w:val="00F74434"/>
    <w:rsid w:val="00F7570E"/>
    <w:rsid w:val="00F75FE4"/>
    <w:rsid w:val="00F76C34"/>
    <w:rsid w:val="00F8023B"/>
    <w:rsid w:val="00F82624"/>
    <w:rsid w:val="00F83653"/>
    <w:rsid w:val="00F83879"/>
    <w:rsid w:val="00F86E4F"/>
    <w:rsid w:val="00F91D94"/>
    <w:rsid w:val="00FA0947"/>
    <w:rsid w:val="00FA0AF9"/>
    <w:rsid w:val="00FA3AA6"/>
    <w:rsid w:val="00FA4F55"/>
    <w:rsid w:val="00FA6186"/>
    <w:rsid w:val="00FA74C6"/>
    <w:rsid w:val="00FA7A4E"/>
    <w:rsid w:val="00FB4360"/>
    <w:rsid w:val="00FB437C"/>
    <w:rsid w:val="00FB5FBE"/>
    <w:rsid w:val="00FB75C9"/>
    <w:rsid w:val="00FB7E5D"/>
    <w:rsid w:val="00FC01AB"/>
    <w:rsid w:val="00FC2109"/>
    <w:rsid w:val="00FC282F"/>
    <w:rsid w:val="00FC3834"/>
    <w:rsid w:val="00FC4095"/>
    <w:rsid w:val="00FC458C"/>
    <w:rsid w:val="00FC53A5"/>
    <w:rsid w:val="00FC63CA"/>
    <w:rsid w:val="00FD3CC0"/>
    <w:rsid w:val="00FD4314"/>
    <w:rsid w:val="00FD5D97"/>
    <w:rsid w:val="00FE0AC8"/>
    <w:rsid w:val="00FE492B"/>
    <w:rsid w:val="00FE7409"/>
    <w:rsid w:val="00FF0639"/>
    <w:rsid w:val="00FF0F56"/>
    <w:rsid w:val="00FF131E"/>
    <w:rsid w:val="00FF1E1D"/>
    <w:rsid w:val="00FF1E28"/>
    <w:rsid w:val="00FF39B1"/>
    <w:rsid w:val="00FF4F6D"/>
    <w:rsid w:val="00FF6811"/>
    <w:rsid w:val="00FF708B"/>
    <w:rsid w:val="00FF7963"/>
    <w:rsid w:val="00FF7AF5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50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50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A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0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556CA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16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16B7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1">
    <w:name w:val="1"/>
    <w:basedOn w:val="Normal"/>
    <w:uiPriority w:val="99"/>
    <w:rsid w:val="006F797F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340" w:after="170" w:line="280" w:lineRule="atLeast"/>
      <w:ind w:left="340" w:hanging="340"/>
      <w:textAlignment w:val="center"/>
    </w:pPr>
    <w:rPr>
      <w:rFonts w:ascii="Century731 BT" w:eastAsiaTheme="minorEastAsia" w:hAnsi="Century731 BT" w:cs="Century731 BT"/>
      <w:b/>
      <w:bCs/>
      <w:color w:val="000000"/>
      <w:w w:val="90"/>
      <w:sz w:val="24"/>
      <w:szCs w:val="24"/>
      <w:lang w:eastAsia="pt-BR"/>
    </w:rPr>
  </w:style>
  <w:style w:type="paragraph" w:customStyle="1" w:styleId="seminrio1">
    <w:name w:val="seminário1"/>
    <w:basedOn w:val="Normal"/>
    <w:uiPriority w:val="99"/>
    <w:rsid w:val="006F797F"/>
    <w:pPr>
      <w:widowControl w:val="0"/>
      <w:tabs>
        <w:tab w:val="right" w:leader="dot" w:pos="5954"/>
      </w:tabs>
      <w:autoSpaceDE w:val="0"/>
      <w:autoSpaceDN w:val="0"/>
      <w:adjustRightInd w:val="0"/>
      <w:spacing w:after="794" w:line="358" w:lineRule="atLeast"/>
      <w:jc w:val="center"/>
      <w:textAlignment w:val="center"/>
    </w:pPr>
    <w:rPr>
      <w:rFonts w:ascii="Garamond" w:eastAsiaTheme="minorEastAsia" w:hAnsi="Garamond" w:cs="Garamond"/>
      <w:b/>
      <w:bCs/>
      <w:color w:val="000000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7D010F"/>
    <w:rPr>
      <w:i/>
      <w:iCs/>
    </w:rPr>
  </w:style>
  <w:style w:type="paragraph" w:customStyle="1" w:styleId="10">
    <w:name w:val="1)"/>
    <w:basedOn w:val="Normal"/>
    <w:uiPriority w:val="99"/>
    <w:rsid w:val="00075F15"/>
    <w:pPr>
      <w:widowControl w:val="0"/>
      <w:tabs>
        <w:tab w:val="left" w:pos="283"/>
      </w:tabs>
      <w:autoSpaceDE w:val="0"/>
      <w:autoSpaceDN w:val="0"/>
      <w:adjustRightInd w:val="0"/>
      <w:spacing w:before="68" w:after="68" w:line="276" w:lineRule="atLeast"/>
      <w:ind w:left="283" w:hanging="283"/>
      <w:jc w:val="both"/>
      <w:textAlignment w:val="center"/>
    </w:pPr>
    <w:rPr>
      <w:rFonts w:ascii="Century731 BT" w:eastAsiaTheme="minorEastAsia" w:hAnsi="Century731 BT" w:cs="Century731 BT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E11D07"/>
    <w:rPr>
      <w:color w:val="0000FF" w:themeColor="hyperlink"/>
      <w:u w:val="single"/>
    </w:rPr>
  </w:style>
  <w:style w:type="paragraph" w:customStyle="1" w:styleId="titcorpomenor">
    <w:name w:val="tit corpo menor"/>
    <w:basedOn w:val="10"/>
    <w:uiPriority w:val="99"/>
    <w:rsid w:val="0006450C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Normal"/>
    <w:uiPriority w:val="99"/>
    <w:rsid w:val="0006450C"/>
    <w:pPr>
      <w:widowControl w:val="0"/>
      <w:autoSpaceDE w:val="0"/>
      <w:autoSpaceDN w:val="0"/>
      <w:adjustRightInd w:val="0"/>
      <w:spacing w:before="57" w:after="57" w:line="240" w:lineRule="atLeast"/>
      <w:ind w:left="283"/>
      <w:jc w:val="both"/>
      <w:textAlignment w:val="center"/>
    </w:pPr>
    <w:rPr>
      <w:rFonts w:ascii="Century731 BT" w:eastAsiaTheme="minorEastAsia" w:hAnsi="Century731 BT" w:cs="Century731 BT"/>
      <w:color w:val="000000"/>
      <w:sz w:val="20"/>
      <w:szCs w:val="20"/>
      <w:lang w:eastAsia="pt-BR"/>
    </w:rPr>
  </w:style>
  <w:style w:type="paragraph" w:customStyle="1" w:styleId="texto">
    <w:name w:val="texto"/>
    <w:basedOn w:val="Normal"/>
    <w:uiPriority w:val="99"/>
    <w:rsid w:val="0006450C"/>
    <w:pPr>
      <w:widowControl w:val="0"/>
      <w:autoSpaceDE w:val="0"/>
      <w:autoSpaceDN w:val="0"/>
      <w:adjustRightInd w:val="0"/>
      <w:spacing w:before="68" w:after="68" w:line="276" w:lineRule="atLeast"/>
      <w:ind w:firstLine="567"/>
      <w:jc w:val="both"/>
      <w:textAlignment w:val="center"/>
    </w:pPr>
    <w:rPr>
      <w:rFonts w:ascii="Century731 BT" w:eastAsiaTheme="minorEastAsia" w:hAnsi="Century731 BT" w:cs="Century731 BT"/>
      <w:color w:val="000000"/>
      <w:lang w:eastAsia="pt-BR"/>
    </w:rPr>
  </w:style>
  <w:style w:type="paragraph" w:customStyle="1" w:styleId="signup-callout">
    <w:name w:val="signup-callout"/>
    <w:basedOn w:val="Normal"/>
    <w:rsid w:val="00B2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32C45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2C45"/>
    <w:rPr>
      <w:rFonts w:ascii="Arial" w:eastAsia="Arial" w:hAnsi="Arial" w:cs="Arial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4501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01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50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5018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-button">
    <w:name w:val="c-button"/>
    <w:basedOn w:val="Fontepargpadro"/>
    <w:rsid w:val="0045018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50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5018D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5018D"/>
    <w:rPr>
      <w:b/>
      <w:bCs/>
    </w:rPr>
  </w:style>
  <w:style w:type="paragraph" w:styleId="Textodenotadefim">
    <w:name w:val="endnote text"/>
    <w:basedOn w:val="Normal"/>
    <w:link w:val="TextodenotadefimChar"/>
    <w:uiPriority w:val="99"/>
    <w:unhideWhenUsed/>
    <w:rsid w:val="000848CE"/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848CE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rsid w:val="000848CE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48C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48CE"/>
    <w:rPr>
      <w:vertAlign w:val="superscript"/>
    </w:rPr>
  </w:style>
  <w:style w:type="paragraph" w:customStyle="1" w:styleId="cab">
    <w:name w:val="cab"/>
    <w:basedOn w:val="Normal"/>
    <w:rsid w:val="00F3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">
    <w:name w:val="par"/>
    <w:basedOn w:val="Normal"/>
    <w:rsid w:val="00F3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e">
    <w:name w:val="cite"/>
    <w:basedOn w:val="Fontepargpadro"/>
    <w:rsid w:val="00F33CE5"/>
  </w:style>
  <w:style w:type="paragraph" w:customStyle="1" w:styleId="textbodypunindent">
    <w:name w:val="text_body_p_unindent"/>
    <w:basedOn w:val="Normal"/>
    <w:rsid w:val="0083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F-Citao1">
    <w:name w:val="STF-Citação1"/>
    <w:basedOn w:val="Normal"/>
    <w:uiPriority w:val="99"/>
    <w:rsid w:val="003153AD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eastAsiaTheme="minorEastAsia" w:hAnsi="Times New Roman" w:cs="Palatino Linotype"/>
      <w:sz w:val="24"/>
      <w:szCs w:val="24"/>
      <w:lang w:eastAsia="pt-BR"/>
    </w:rPr>
  </w:style>
  <w:style w:type="paragraph" w:customStyle="1" w:styleId="style14">
    <w:name w:val="style14"/>
    <w:basedOn w:val="Normal"/>
    <w:rsid w:val="009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78">
    <w:name w:val="fontstyle78"/>
    <w:basedOn w:val="Fontepargpadro"/>
    <w:rsid w:val="009164C6"/>
  </w:style>
  <w:style w:type="character" w:customStyle="1" w:styleId="highlight">
    <w:name w:val="highlight"/>
    <w:basedOn w:val="Fontepargpadro"/>
    <w:rsid w:val="00F226F4"/>
  </w:style>
  <w:style w:type="character" w:customStyle="1" w:styleId="Ttulo4Char">
    <w:name w:val="Título 4 Char"/>
    <w:basedOn w:val="Fontepargpadro"/>
    <w:link w:val="Ttulo4"/>
    <w:uiPriority w:val="9"/>
    <w:semiHidden/>
    <w:rsid w:val="00001A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nippet">
    <w:name w:val="snippet"/>
    <w:basedOn w:val="Normal"/>
    <w:rsid w:val="00BD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BD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ry-cat">
    <w:name w:val="entry-cat"/>
    <w:basedOn w:val="Fontepargpadro"/>
    <w:rsid w:val="00066368"/>
  </w:style>
  <w:style w:type="character" w:customStyle="1" w:styleId="a">
    <w:name w:val="a"/>
    <w:basedOn w:val="Fontepargpadro"/>
    <w:rsid w:val="003B78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3C9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3C9E"/>
  </w:style>
  <w:style w:type="paragraph" w:customStyle="1" w:styleId="STF-Padro">
    <w:name w:val="STF-Padrão"/>
    <w:basedOn w:val="Normal"/>
    <w:uiPriority w:val="99"/>
    <w:rsid w:val="007978B8"/>
    <w:pPr>
      <w:widowControl w:val="0"/>
      <w:tabs>
        <w:tab w:val="left" w:pos="1701"/>
      </w:tabs>
      <w:autoSpaceDE w:val="0"/>
      <w:autoSpaceDN w:val="0"/>
      <w:adjustRightInd w:val="0"/>
      <w:spacing w:after="0" w:line="264" w:lineRule="auto"/>
      <w:ind w:firstLine="567"/>
      <w:jc w:val="both"/>
    </w:pPr>
    <w:rPr>
      <w:rFonts w:ascii="Palatino Linotype" w:eastAsiaTheme="minorEastAsia" w:hAnsi="Times New Roman" w:cs="Palatino Linotype"/>
      <w:sz w:val="26"/>
      <w:szCs w:val="26"/>
      <w:lang w:eastAsia="pt-BR"/>
    </w:rPr>
  </w:style>
  <w:style w:type="paragraph" w:customStyle="1" w:styleId="STF-PadroCentralizado">
    <w:name w:val="STF-PadrãoCentralizado"/>
    <w:basedOn w:val="Normal"/>
    <w:uiPriority w:val="99"/>
    <w:rsid w:val="007978B8"/>
    <w:pPr>
      <w:widowControl w:val="0"/>
      <w:autoSpaceDE w:val="0"/>
      <w:autoSpaceDN w:val="0"/>
      <w:adjustRightInd w:val="0"/>
      <w:spacing w:after="0" w:line="264" w:lineRule="auto"/>
      <w:jc w:val="center"/>
    </w:pPr>
    <w:rPr>
      <w:rFonts w:ascii="Palatino Linotype" w:eastAsiaTheme="minorEastAsia" w:hAnsi="Times New Roman" w:cs="Palatino Linotype"/>
      <w:sz w:val="26"/>
      <w:szCs w:val="26"/>
      <w:lang w:eastAsia="pt-BR"/>
    </w:rPr>
  </w:style>
  <w:style w:type="paragraph" w:customStyle="1" w:styleId="Ttulo11">
    <w:name w:val="Título 11"/>
    <w:basedOn w:val="Normal"/>
    <w:uiPriority w:val="1"/>
    <w:qFormat/>
    <w:rsid w:val="00775151"/>
    <w:pPr>
      <w:widowControl w:val="0"/>
      <w:spacing w:before="148" w:after="0" w:line="240" w:lineRule="auto"/>
      <w:ind w:left="46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l7">
    <w:name w:val="l7"/>
    <w:basedOn w:val="Fontepargpadro"/>
    <w:rsid w:val="00100DDA"/>
  </w:style>
  <w:style w:type="character" w:customStyle="1" w:styleId="l6">
    <w:name w:val="l6"/>
    <w:basedOn w:val="Fontepargpadro"/>
    <w:rsid w:val="00100DDA"/>
  </w:style>
  <w:style w:type="character" w:customStyle="1" w:styleId="l8">
    <w:name w:val="l8"/>
    <w:basedOn w:val="Fontepargpadro"/>
    <w:rsid w:val="00100DDA"/>
  </w:style>
  <w:style w:type="paragraph" w:customStyle="1" w:styleId="Semestilodepargrafo">
    <w:name w:val="[Sem estilo de parágrafo]"/>
    <w:rsid w:val="001937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pt-BR"/>
    </w:rPr>
  </w:style>
  <w:style w:type="paragraph" w:customStyle="1" w:styleId="a0">
    <w:name w:val="a)"/>
    <w:basedOn w:val="Semestilodepargrafo"/>
    <w:uiPriority w:val="99"/>
    <w:rsid w:val="001937A2"/>
    <w:pPr>
      <w:tabs>
        <w:tab w:val="left" w:pos="283"/>
      </w:tabs>
      <w:spacing w:before="40" w:after="40" w:line="276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Pargrafobsico">
    <w:name w:val="[Parágrafo básico]"/>
    <w:basedOn w:val="Semestilodepargrafo"/>
    <w:uiPriority w:val="99"/>
    <w:rsid w:val="001937A2"/>
  </w:style>
  <w:style w:type="character" w:customStyle="1" w:styleId="ff3">
    <w:name w:val="ff3"/>
    <w:basedOn w:val="Fontepargpadro"/>
    <w:rsid w:val="00FA74C6"/>
  </w:style>
  <w:style w:type="character" w:customStyle="1" w:styleId="ff4">
    <w:name w:val="ff4"/>
    <w:basedOn w:val="Fontepargpadro"/>
    <w:rsid w:val="00FA74C6"/>
  </w:style>
  <w:style w:type="character" w:customStyle="1" w:styleId="a1">
    <w:name w:val="_"/>
    <w:basedOn w:val="Fontepargpadro"/>
    <w:rsid w:val="00FA74C6"/>
  </w:style>
  <w:style w:type="character" w:customStyle="1" w:styleId="ff2">
    <w:name w:val="ff2"/>
    <w:basedOn w:val="Fontepargpadro"/>
    <w:rsid w:val="00375546"/>
  </w:style>
  <w:style w:type="character" w:customStyle="1" w:styleId="ff1">
    <w:name w:val="ff1"/>
    <w:basedOn w:val="Fontepargpadro"/>
    <w:rsid w:val="00375546"/>
  </w:style>
  <w:style w:type="character" w:customStyle="1" w:styleId="post-author">
    <w:name w:val="post-author"/>
    <w:basedOn w:val="Fontepargpadro"/>
    <w:rsid w:val="00AF2F03"/>
  </w:style>
  <w:style w:type="character" w:customStyle="1" w:styleId="fn">
    <w:name w:val="fn"/>
    <w:basedOn w:val="Fontepargpadro"/>
    <w:rsid w:val="00AF2F03"/>
  </w:style>
  <w:style w:type="character" w:customStyle="1" w:styleId="post-timestamp">
    <w:name w:val="post-timestamp"/>
    <w:basedOn w:val="Fontepargpadro"/>
    <w:rsid w:val="00AF2F03"/>
  </w:style>
  <w:style w:type="character" w:customStyle="1" w:styleId="Ttulo10">
    <w:name w:val="Título1"/>
    <w:basedOn w:val="Fontepargpadro"/>
    <w:rsid w:val="00AF2F03"/>
  </w:style>
  <w:style w:type="character" w:customStyle="1" w:styleId="post-siblings">
    <w:name w:val="post-siblings"/>
    <w:basedOn w:val="Fontepargpadro"/>
    <w:rsid w:val="00AF2F03"/>
  </w:style>
  <w:style w:type="character" w:customStyle="1" w:styleId="icon">
    <w:name w:val="icon"/>
    <w:basedOn w:val="Fontepargpadro"/>
    <w:rsid w:val="00AF2F03"/>
  </w:style>
  <w:style w:type="character" w:customStyle="1" w:styleId="author">
    <w:name w:val="author"/>
    <w:basedOn w:val="Fontepargpadro"/>
    <w:rsid w:val="00AF2F03"/>
  </w:style>
  <w:style w:type="character" w:customStyle="1" w:styleId="post-date">
    <w:name w:val="post-date"/>
    <w:basedOn w:val="Fontepargpadro"/>
    <w:rsid w:val="00AF2F03"/>
  </w:style>
  <w:style w:type="paragraph" w:customStyle="1" w:styleId="twowords">
    <w:name w:val="twowords"/>
    <w:basedOn w:val="Normal"/>
    <w:rsid w:val="0076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s">
    <w:name w:val="authors"/>
    <w:basedOn w:val="Normal"/>
    <w:rsid w:val="0076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">
    <w:name w:val="l"/>
    <w:basedOn w:val="Fontepargpadro"/>
    <w:rsid w:val="00323F5C"/>
  </w:style>
  <w:style w:type="paragraph" w:customStyle="1" w:styleId="cabealhopetio">
    <w:name w:val="cabeçalho petição"/>
    <w:rsid w:val="00031C97"/>
    <w:pPr>
      <w:widowControl w:val="0"/>
      <w:spacing w:after="720" w:line="-240" w:lineRule="auto"/>
      <w:jc w:val="both"/>
    </w:pPr>
    <w:rPr>
      <w:rFonts w:ascii="CG Times" w:eastAsia="Times New Roman" w:hAnsi="CG 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3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5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5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1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0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70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75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479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86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786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551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99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85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790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264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686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98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808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9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3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9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71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06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0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29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7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4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3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6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5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9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12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3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00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63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8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86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98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42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71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4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38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8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2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6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7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6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07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85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45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19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12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98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1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94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13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6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3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6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5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3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3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43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93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4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8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2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4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1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28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1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9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2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10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0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66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10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47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0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1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8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60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4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6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1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25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2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95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4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15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72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51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2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6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67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39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55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5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72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86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0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2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7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94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5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8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74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30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58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52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96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7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15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56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1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66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63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5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90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89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10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8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78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10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52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4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57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5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95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601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564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6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117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473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70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  <w:divsChild>
                <w:div w:id="42519974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924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3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0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5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2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3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5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8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7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1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4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8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7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1448">
                                      <w:marLeft w:val="0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3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0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006884">
                                      <w:marLeft w:val="0"/>
                                      <w:marRight w:val="0"/>
                                      <w:marTop w:val="188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2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4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4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f.jus.br/portal/inteiroTeor/obterInteiroTeor.asp?idDocumento=8152960" TargetMode="External"/><Relationship Id="rId18" Type="http://schemas.openxmlformats.org/officeDocument/2006/relationships/hyperlink" Target="http://www.migalhas.com.br/dePeso/16,MI247696,41046-A+obrigatoriedade+de+concessao+de+efeito+suspensivo+aos+embargos+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f.jus.br/portal/processo/verProcessoPeca.asp?id=91545696&amp;tipoApp=.pdf" TargetMode="External"/><Relationship Id="rId17" Type="http://schemas.openxmlformats.org/officeDocument/2006/relationships/hyperlink" Target="http://www.migalhas.com.br/dePeso/16,MI247696,41046-A+obrigatoriedade+de+concessao+de+efeito+suspensivo+aos+embargos+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galhas.com.br/dePeso/16,MI247696,41046-A+obrigatoriedade+de+concessao+de+efeito+suspensivo+aos+embargos+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f.jus.br/portal/processo/verProcessoPeca.asp?id=85920753&amp;tipoApp=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galhas.com.br/dePeso/16,MI247696,41046-A+obrigatoriedade+de+concessao+de+efeito+suspensivo+aos+embargos+a" TargetMode="External"/><Relationship Id="rId10" Type="http://schemas.openxmlformats.org/officeDocument/2006/relationships/hyperlink" Target="http://www.stf.jus.br/portal/inteiroTeor/obterInteiroTeor.asp?idDocumento=1032909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dir.stf.jus.br/paginadorpub/paginador.jsp?docTP=AC&amp;docID=459624" TargetMode="External"/><Relationship Id="rId14" Type="http://schemas.openxmlformats.org/officeDocument/2006/relationships/hyperlink" Target="http://www.stf.jus.br/portal/jurisprudencia/listarJurisprudencia.asp?s1=%281055%2EPROC%2E%29&amp;base=baseInformativo&amp;url=http://tinyurl.com/j7wgyn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3C73-7A04-4915-90C4-512CB7B5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3943</Words>
  <Characters>21297</Characters>
  <Application>Microsoft Office Word</Application>
  <DocSecurity>4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2</cp:revision>
  <cp:lastPrinted>2016-04-01T13:54:00Z</cp:lastPrinted>
  <dcterms:created xsi:type="dcterms:W3CDTF">2017-04-07T19:44:00Z</dcterms:created>
  <dcterms:modified xsi:type="dcterms:W3CDTF">2017-04-07T19:44:00Z</dcterms:modified>
</cp:coreProperties>
</file>