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4F" w:rsidRPr="004E41F2" w:rsidRDefault="00C17F4F" w:rsidP="00940D52">
      <w:pPr>
        <w:pStyle w:val="Semestilodepargrafo"/>
        <w:suppressAutoHyphens/>
        <w:jc w:val="center"/>
        <w:rPr>
          <w:rFonts w:ascii="Arial" w:hAnsi="Arial" w:cs="Arial"/>
          <w:smallCaps/>
          <w:sz w:val="20"/>
          <w:szCs w:val="20"/>
        </w:rPr>
      </w:pPr>
      <w:bookmarkStart w:id="0" w:name="_GoBack"/>
      <w:bookmarkEnd w:id="0"/>
    </w:p>
    <w:p w:rsidR="00C17F4F" w:rsidRPr="004E41F2" w:rsidRDefault="00C17F4F" w:rsidP="00940D52">
      <w:pPr>
        <w:pStyle w:val="Semestilodepargrafo"/>
        <w:suppressAutoHyphens/>
        <w:jc w:val="center"/>
        <w:rPr>
          <w:rFonts w:ascii="Arial" w:hAnsi="Arial" w:cs="Arial"/>
          <w:smallCaps/>
          <w:sz w:val="20"/>
          <w:szCs w:val="20"/>
        </w:rPr>
      </w:pPr>
    </w:p>
    <w:p w:rsidR="009C7A8D" w:rsidRDefault="009C7A8D" w:rsidP="00940D52">
      <w:pPr>
        <w:pStyle w:val="Semestilodepargrafo"/>
        <w:suppressAutoHyphens/>
        <w:jc w:val="center"/>
        <w:rPr>
          <w:rFonts w:ascii="Arial" w:hAnsi="Arial" w:cs="Arial"/>
          <w:b/>
          <w:bCs/>
          <w:caps/>
          <w:sz w:val="36"/>
          <w:szCs w:val="36"/>
        </w:rPr>
      </w:pPr>
    </w:p>
    <w:p w:rsidR="009C7A8D" w:rsidRDefault="009C7A8D" w:rsidP="00940D52">
      <w:pPr>
        <w:pStyle w:val="Semestilodepargrafo"/>
        <w:suppressAutoHyphens/>
        <w:jc w:val="center"/>
        <w:rPr>
          <w:rFonts w:ascii="Arial" w:hAnsi="Arial" w:cs="Arial"/>
          <w:b/>
          <w:bCs/>
          <w:caps/>
          <w:sz w:val="36"/>
          <w:szCs w:val="36"/>
        </w:rPr>
      </w:pPr>
    </w:p>
    <w:p w:rsidR="00940D52" w:rsidRPr="004E41F2" w:rsidRDefault="00940D52" w:rsidP="00940D52">
      <w:pPr>
        <w:pStyle w:val="Semestilodepargrafo"/>
        <w:suppressAutoHyphens/>
        <w:jc w:val="center"/>
        <w:rPr>
          <w:rFonts w:ascii="Arial" w:hAnsi="Arial" w:cs="Arial"/>
          <w:b/>
          <w:bCs/>
          <w:smallCaps/>
          <w:sz w:val="48"/>
          <w:szCs w:val="48"/>
        </w:rPr>
      </w:pPr>
      <w:r w:rsidRPr="004E41F2">
        <w:rPr>
          <w:rFonts w:ascii="Arial" w:hAnsi="Arial" w:cs="Arial"/>
          <w:b/>
          <w:bCs/>
          <w:caps/>
          <w:sz w:val="36"/>
          <w:szCs w:val="36"/>
        </w:rPr>
        <w:t>CURSO DE ESPECIALIZAÇÃO EM Direito Tributário</w:t>
      </w:r>
    </w:p>
    <w:p w:rsidR="00940D52" w:rsidRPr="004E41F2" w:rsidRDefault="00940D52" w:rsidP="00940D52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color w:val="000000"/>
          <w:sz w:val="32"/>
          <w:szCs w:val="32"/>
        </w:rPr>
      </w:pPr>
      <w:r w:rsidRPr="004E41F2">
        <w:rPr>
          <w:rFonts w:ascii="Arial" w:hAnsi="Arial" w:cs="Arial"/>
          <w:color w:val="000000"/>
          <w:sz w:val="28"/>
          <w:szCs w:val="28"/>
        </w:rPr>
        <w:t>Módulo Controle da Incidência Tributária</w:t>
      </w:r>
    </w:p>
    <w:p w:rsidR="00940D52" w:rsidRPr="004E41F2" w:rsidRDefault="00940D52" w:rsidP="00940D52">
      <w:pPr>
        <w:suppressAutoHyphens/>
        <w:autoSpaceDE w:val="0"/>
        <w:autoSpaceDN w:val="0"/>
        <w:adjustRightInd w:val="0"/>
        <w:spacing w:before="119" w:after="0" w:line="288" w:lineRule="auto"/>
        <w:jc w:val="center"/>
        <w:textAlignment w:val="center"/>
        <w:rPr>
          <w:rFonts w:ascii="Arial" w:hAnsi="Arial" w:cs="Arial"/>
          <w:b/>
          <w:bCs/>
          <w:smallCaps/>
          <w:color w:val="000000"/>
          <w:sz w:val="28"/>
          <w:szCs w:val="28"/>
        </w:rPr>
      </w:pPr>
    </w:p>
    <w:p w:rsidR="00940D52" w:rsidRPr="004E41F2" w:rsidRDefault="00940D52" w:rsidP="00940D52">
      <w:pPr>
        <w:suppressAutoHyphens/>
        <w:autoSpaceDE w:val="0"/>
        <w:autoSpaceDN w:val="0"/>
        <w:adjustRightInd w:val="0"/>
        <w:spacing w:before="119" w:after="0" w:line="288" w:lineRule="auto"/>
        <w:jc w:val="center"/>
        <w:textAlignment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E41F2">
        <w:rPr>
          <w:rFonts w:ascii="Arial" w:hAnsi="Arial" w:cs="Arial"/>
          <w:b/>
          <w:bCs/>
          <w:smallCaps/>
          <w:color w:val="000000"/>
          <w:sz w:val="28"/>
          <w:szCs w:val="28"/>
        </w:rPr>
        <w:t>Presidente</w:t>
      </w:r>
    </w:p>
    <w:p w:rsidR="00940D52" w:rsidRPr="004E41F2" w:rsidRDefault="00940D52" w:rsidP="00940D52">
      <w:pPr>
        <w:keepNext/>
        <w:tabs>
          <w:tab w:val="left" w:pos="1060"/>
        </w:tabs>
        <w:suppressAutoHyphens/>
        <w:autoSpaceDE w:val="0"/>
        <w:autoSpaceDN w:val="0"/>
        <w:adjustRightInd w:val="0"/>
        <w:spacing w:before="57" w:after="113" w:line="288" w:lineRule="auto"/>
        <w:jc w:val="center"/>
        <w:textAlignment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E41F2">
        <w:rPr>
          <w:rFonts w:ascii="Arial" w:hAnsi="Arial" w:cs="Arial"/>
          <w:i/>
          <w:iCs/>
          <w:color w:val="000000"/>
          <w:sz w:val="24"/>
          <w:szCs w:val="24"/>
        </w:rPr>
        <w:t>Paulo de Barros Carvalho</w:t>
      </w:r>
    </w:p>
    <w:p w:rsidR="00940D52" w:rsidRPr="004E41F2" w:rsidRDefault="00940D52" w:rsidP="00940D52">
      <w:pPr>
        <w:suppressAutoHyphens/>
        <w:autoSpaceDE w:val="0"/>
        <w:autoSpaceDN w:val="0"/>
        <w:adjustRightInd w:val="0"/>
        <w:spacing w:before="119" w:after="0" w:line="288" w:lineRule="auto"/>
        <w:jc w:val="center"/>
        <w:textAlignment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E41F2">
        <w:rPr>
          <w:rFonts w:ascii="Arial" w:hAnsi="Arial" w:cs="Arial"/>
          <w:b/>
          <w:bCs/>
          <w:smallCaps/>
          <w:color w:val="000000"/>
          <w:sz w:val="28"/>
          <w:szCs w:val="28"/>
        </w:rPr>
        <w:t>Coordenadora</w:t>
      </w:r>
    </w:p>
    <w:p w:rsidR="00940D52" w:rsidRPr="004E41F2" w:rsidRDefault="00940D52" w:rsidP="00940D52">
      <w:pPr>
        <w:keepNext/>
        <w:tabs>
          <w:tab w:val="left" w:pos="1060"/>
        </w:tabs>
        <w:suppressAutoHyphens/>
        <w:autoSpaceDE w:val="0"/>
        <w:autoSpaceDN w:val="0"/>
        <w:adjustRightInd w:val="0"/>
        <w:spacing w:before="28" w:after="0" w:line="288" w:lineRule="auto"/>
        <w:jc w:val="center"/>
        <w:textAlignment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E41F2">
        <w:rPr>
          <w:rFonts w:ascii="Arial" w:hAnsi="Arial" w:cs="Arial"/>
          <w:i/>
          <w:iCs/>
          <w:color w:val="000000"/>
          <w:sz w:val="24"/>
          <w:szCs w:val="24"/>
        </w:rPr>
        <w:t>Priscila de Souza</w:t>
      </w:r>
    </w:p>
    <w:p w:rsidR="00940D52" w:rsidRPr="004E41F2" w:rsidRDefault="00940D52" w:rsidP="00856B08">
      <w:pPr>
        <w:pStyle w:val="Semestilodepargrafo"/>
        <w:spacing w:after="454"/>
        <w:jc w:val="center"/>
        <w:rPr>
          <w:rFonts w:ascii="Arial" w:hAnsi="Arial" w:cs="Arial"/>
        </w:rPr>
      </w:pPr>
      <w:r w:rsidRPr="004E41F2">
        <w:rPr>
          <w:rFonts w:ascii="Arial" w:hAnsi="Arial" w:cs="Arial"/>
          <w:b/>
          <w:bCs/>
          <w:sz w:val="28"/>
          <w:szCs w:val="28"/>
        </w:rPr>
        <w:br w:type="page"/>
      </w:r>
    </w:p>
    <w:p w:rsidR="00B3293A" w:rsidRPr="004E41F2" w:rsidRDefault="00B3293A" w:rsidP="00BD57E7">
      <w:pPr>
        <w:suppressAutoHyphens/>
        <w:autoSpaceDE w:val="0"/>
        <w:autoSpaceDN w:val="0"/>
        <w:adjustRightInd w:val="0"/>
        <w:spacing w:after="120" w:line="288" w:lineRule="auto"/>
        <w:jc w:val="center"/>
        <w:textAlignment w:val="center"/>
        <w:rPr>
          <w:rFonts w:ascii="Arial" w:hAnsi="Arial" w:cs="Arial"/>
          <w:sz w:val="48"/>
          <w:szCs w:val="48"/>
        </w:rPr>
      </w:pPr>
      <w:r w:rsidRPr="004E41F2">
        <w:rPr>
          <w:rFonts w:ascii="Arial" w:hAnsi="Arial" w:cs="Arial"/>
          <w:b/>
          <w:bCs/>
          <w:sz w:val="44"/>
          <w:szCs w:val="44"/>
        </w:rPr>
        <w:lastRenderedPageBreak/>
        <w:t xml:space="preserve">Seminário </w:t>
      </w:r>
      <w:r w:rsidRPr="004E41F2">
        <w:rPr>
          <w:rFonts w:ascii="Arial" w:hAnsi="Arial" w:cs="Arial"/>
          <w:b/>
          <w:bCs/>
          <w:sz w:val="48"/>
          <w:szCs w:val="48"/>
        </w:rPr>
        <w:t>I</w:t>
      </w:r>
    </w:p>
    <w:p w:rsidR="00B3293A" w:rsidRPr="004E41F2" w:rsidRDefault="00B3293A">
      <w:pPr>
        <w:pStyle w:val="Semestilodepargrafo"/>
        <w:tabs>
          <w:tab w:val="right" w:leader="dot" w:pos="5954"/>
        </w:tabs>
        <w:suppressAutoHyphens/>
        <w:spacing w:after="794"/>
        <w:jc w:val="center"/>
        <w:rPr>
          <w:rFonts w:ascii="Arial" w:hAnsi="Arial" w:cs="Arial"/>
          <w:b/>
          <w:bCs/>
          <w:sz w:val="32"/>
          <w:szCs w:val="32"/>
        </w:rPr>
      </w:pPr>
      <w:r w:rsidRPr="004E41F2">
        <w:rPr>
          <w:rFonts w:ascii="Arial" w:hAnsi="Arial" w:cs="Arial"/>
          <w:b/>
          <w:bCs/>
          <w:sz w:val="32"/>
          <w:szCs w:val="32"/>
        </w:rPr>
        <w:t>REGRA-MATRIZ DE INCIDÊNCIA, OBRIGAÇÃO TRIBUTÁRIA E</w:t>
      </w:r>
      <w:r w:rsidRPr="004E41F2">
        <w:rPr>
          <w:rFonts w:ascii="Arial" w:hAnsi="Arial" w:cs="Arial"/>
          <w:b/>
          <w:bCs/>
          <w:sz w:val="32"/>
          <w:szCs w:val="32"/>
        </w:rPr>
        <w:br/>
        <w:t>SUJEIÇÃO PASSIVA</w:t>
      </w:r>
    </w:p>
    <w:p w:rsidR="00B3293A" w:rsidRPr="004E41F2" w:rsidRDefault="00B3293A">
      <w:pPr>
        <w:pStyle w:val="1"/>
        <w:rPr>
          <w:rFonts w:ascii="Arial" w:hAnsi="Arial" w:cs="Arial"/>
          <w:w w:val="100"/>
        </w:rPr>
      </w:pPr>
      <w:r w:rsidRPr="004E41F2">
        <w:rPr>
          <w:rFonts w:ascii="Arial" w:hAnsi="Arial" w:cs="Arial"/>
          <w:w w:val="100"/>
        </w:rPr>
        <w:t>Questões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1.</w:t>
      </w:r>
      <w:r w:rsidRPr="004E41F2">
        <w:rPr>
          <w:rFonts w:ascii="Arial" w:hAnsi="Arial" w:cs="Arial"/>
        </w:rPr>
        <w:tab/>
        <w:t>Que é norma jurídica? E regra-matriz de incidência tributária (RMIT)? Qual a função do consequente normativo?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2.</w:t>
      </w:r>
      <w:r w:rsidRPr="004E41F2">
        <w:rPr>
          <w:rFonts w:ascii="Arial" w:hAnsi="Arial" w:cs="Arial"/>
        </w:rPr>
        <w:tab/>
        <w:t>Distinguir: obrigação tributária e deveres instrumentais. Multa pelo não pagamento caracteriza-se como obrigação tributária? Justifique analisando criticamente o art. 113 do CTN.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3.</w:t>
      </w:r>
      <w:r w:rsidRPr="004E41F2">
        <w:rPr>
          <w:rFonts w:ascii="Arial" w:hAnsi="Arial" w:cs="Arial"/>
        </w:rPr>
        <w:tab/>
        <w:t>Que é sujeição passiva? Definir os conceitos de: (i) sujeito passivo; (ii) contribuinte; (iii) responsável tributário; e (iv) substituto tributário – distinguindo: substituição tributária para trás; substituição (conve</w:t>
      </w:r>
      <w:r w:rsidRPr="004E41F2">
        <w:rPr>
          <w:rFonts w:ascii="Arial" w:hAnsi="Arial" w:cs="Arial"/>
        </w:rPr>
        <w:t>n</w:t>
      </w:r>
      <w:r w:rsidRPr="004E41F2">
        <w:rPr>
          <w:rFonts w:ascii="Arial" w:hAnsi="Arial" w:cs="Arial"/>
        </w:rPr>
        <w:t>cional); agente de retenção e substituição para frente. O responsável (art. 121, II, do CTN) é: (i) sujeito passivo da relação jurídica tribut</w:t>
      </w:r>
      <w:r w:rsidRPr="004E41F2">
        <w:rPr>
          <w:rFonts w:ascii="Arial" w:hAnsi="Arial" w:cs="Arial"/>
        </w:rPr>
        <w:t>á</w:t>
      </w:r>
      <w:r w:rsidRPr="004E41F2">
        <w:rPr>
          <w:rFonts w:ascii="Arial" w:hAnsi="Arial" w:cs="Arial"/>
        </w:rPr>
        <w:t>ria; (ii) de relação de dever instrumental; ou (iii) de relação jurídica sancionatória?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4.</w:t>
      </w:r>
      <w:r w:rsidRPr="004E41F2">
        <w:rPr>
          <w:rFonts w:ascii="Arial" w:hAnsi="Arial" w:cs="Arial"/>
        </w:rPr>
        <w:tab/>
        <w:t>A empresa “A” adquiriu estabelecimento industrial da empresa “B” e continuou sua atividade. Aproximadamente um ano depois da aqu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sição, a empresa “A” é demandada pelo Fisco em relação a fatos geradores realizados pela empresa “B”. No contrato de compra e venda não há disciplina a respeito das dívidas tributárias anteriores à aquisição. Pergunta-se: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 xml:space="preserve">a) Pode o Fisco, após a indigitada operação de compra e venda, exigir os tributos, cujos fatos geradores foram realizados por “B” </w:t>
      </w:r>
      <w:r w:rsidRPr="004E41F2">
        <w:rPr>
          <w:rFonts w:ascii="Arial" w:hAnsi="Arial" w:cs="Arial"/>
        </w:rPr>
        <w:lastRenderedPageBreak/>
        <w:t>antes de sua aquisição, diretamente de “A”? Há relevância se houver no contrato cláusula de responsabilidade de “B” quanto aos débitos anteriores à operação? (Vide anexo I).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b) A empresa “A” sujeita-se às sanções tributárias materiais: (i) multa de mora, (ii) multa pelo não pagamento de tributo, (iii) juros e (iv) multa pelo descumprimento de deveres instrumentais, se aplicadas antes da operação de compra e venda? E se aplicadas depois da operação? (Vide anexos II e III).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5.</w:t>
      </w:r>
      <w:r w:rsidRPr="004E41F2">
        <w:rPr>
          <w:rFonts w:ascii="Arial" w:hAnsi="Arial" w:cs="Arial"/>
        </w:rPr>
        <w:tab/>
        <w:t>Quanto ao artigo 135 do CTN, pergunta-se: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a) Qual a espécie de responsabilidade prevista? Poderia o fiscal lavrar auto de infração contra o contribuinte e, posteriormente, ex</w:t>
      </w:r>
      <w:r w:rsidRPr="004E41F2">
        <w:rPr>
          <w:rFonts w:ascii="Arial" w:hAnsi="Arial" w:cs="Arial"/>
        </w:rPr>
        <w:t>e</w:t>
      </w:r>
      <w:r w:rsidRPr="004E41F2">
        <w:rPr>
          <w:rFonts w:ascii="Arial" w:hAnsi="Arial" w:cs="Arial"/>
        </w:rPr>
        <w:t>cutar o sócio de forma solidária à empresa? (Vide anexos IV e V).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b) A dissolução irregular da sociedade caracteriza infração à lei apta a ensejar a responsabilidade do(s) sócio(s) pelas dívidas da pessoa jurídica? E o mero inadimplemento da obrigação de pagar o tributo?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(Vide anexos VI, VII e VIII).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6.</w:t>
      </w:r>
      <w:r w:rsidRPr="004E41F2">
        <w:rPr>
          <w:rFonts w:ascii="Arial" w:hAnsi="Arial" w:cs="Arial"/>
        </w:rPr>
        <w:tab/>
        <w:t>Que é grupo econômico? Quais os critérios para caracterizar a fo</w:t>
      </w:r>
      <w:r w:rsidRPr="004E41F2">
        <w:rPr>
          <w:rFonts w:ascii="Arial" w:hAnsi="Arial" w:cs="Arial"/>
        </w:rPr>
        <w:t>r</w:t>
      </w:r>
      <w:r w:rsidRPr="004E41F2">
        <w:rPr>
          <w:rFonts w:ascii="Arial" w:hAnsi="Arial" w:cs="Arial"/>
        </w:rPr>
        <w:t>mação de grupo econômico de empresas no ordenamento jurídico brasileiro? A caracterização implica reconhecimento de responsab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lidade solidária? (Vide anexo IX).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7.</w:t>
      </w:r>
      <w:r w:rsidRPr="004E41F2">
        <w:rPr>
          <w:rFonts w:ascii="Arial" w:hAnsi="Arial" w:cs="Arial"/>
        </w:rPr>
        <w:tab/>
        <w:t>Dada a seguinte Lei (fictícia):</w:t>
      </w:r>
    </w:p>
    <w:p w:rsidR="00B3293A" w:rsidRPr="00856B08" w:rsidRDefault="00B3293A">
      <w:pPr>
        <w:pStyle w:val="titcorpomenor"/>
        <w:rPr>
          <w:rFonts w:ascii="Courier New" w:hAnsi="Courier New" w:cs="Courier New"/>
          <w:spacing w:val="0"/>
          <w:w w:val="100"/>
        </w:rPr>
      </w:pPr>
      <w:r w:rsidRPr="00856B08">
        <w:rPr>
          <w:rFonts w:ascii="Courier New" w:hAnsi="Courier New" w:cs="Courier New"/>
          <w:spacing w:val="0"/>
          <w:w w:val="100"/>
        </w:rPr>
        <w:t>Prefeitura de São Pedro, Lei n. 5.151, de 12/10/2001, D.M. 25/10/2001</w:t>
      </w:r>
    </w:p>
    <w:p w:rsidR="00B3293A" w:rsidRPr="00856B08" w:rsidRDefault="00B3293A">
      <w:pPr>
        <w:pStyle w:val="corpomenor"/>
        <w:rPr>
          <w:rFonts w:ascii="Courier New" w:hAnsi="Courier New" w:cs="Courier New"/>
        </w:rPr>
      </w:pPr>
      <w:r w:rsidRPr="00856B08">
        <w:rPr>
          <w:rFonts w:ascii="Courier New" w:hAnsi="Courier New" w:cs="Courier New"/>
        </w:rPr>
        <w:t>Art. 1</w:t>
      </w:r>
      <w:r w:rsidRPr="00856B08">
        <w:rPr>
          <w:rFonts w:ascii="Courier New" w:hAnsi="Courier New" w:cs="Courier New"/>
          <w:strike/>
        </w:rPr>
        <w:t>º</w:t>
      </w:r>
      <w:r w:rsidRPr="00856B08">
        <w:rPr>
          <w:rFonts w:ascii="Courier New" w:hAnsi="Courier New" w:cs="Courier New"/>
        </w:rPr>
        <w:t xml:space="preserve"> Fica instituída taxa de conservação e limpeza urbana para o custeio do serviço público municipal de conservação e limpeza de vias públicas.</w:t>
      </w:r>
    </w:p>
    <w:p w:rsidR="00B3293A" w:rsidRPr="00856B08" w:rsidRDefault="00B3293A">
      <w:pPr>
        <w:pStyle w:val="corpomenor"/>
        <w:rPr>
          <w:rFonts w:ascii="Courier New" w:hAnsi="Courier New" w:cs="Courier New"/>
        </w:rPr>
      </w:pPr>
      <w:r w:rsidRPr="00856B08">
        <w:rPr>
          <w:rFonts w:ascii="Courier New" w:hAnsi="Courier New" w:cs="Courier New"/>
        </w:rPr>
        <w:t>Art. 2</w:t>
      </w:r>
      <w:r w:rsidRPr="00856B08">
        <w:rPr>
          <w:rFonts w:ascii="Courier New" w:hAnsi="Courier New" w:cs="Courier New"/>
          <w:strike/>
        </w:rPr>
        <w:t>º</w:t>
      </w:r>
      <w:r w:rsidRPr="00856B08">
        <w:rPr>
          <w:rFonts w:ascii="Courier New" w:hAnsi="Courier New" w:cs="Courier New"/>
        </w:rPr>
        <w:t xml:space="preserve"> A taxa tem como fato gerador a prestação do serviço de limpeza das vias públicas.</w:t>
      </w:r>
    </w:p>
    <w:p w:rsidR="00B3293A" w:rsidRPr="00856B08" w:rsidRDefault="00B3293A">
      <w:pPr>
        <w:pStyle w:val="corpomenor"/>
        <w:rPr>
          <w:rFonts w:ascii="Courier New" w:hAnsi="Courier New" w:cs="Courier New"/>
        </w:rPr>
      </w:pPr>
      <w:r w:rsidRPr="00856B08">
        <w:rPr>
          <w:rFonts w:ascii="Courier New" w:hAnsi="Courier New" w:cs="Courier New"/>
        </w:rPr>
        <w:t>Art. 3</w:t>
      </w:r>
      <w:r w:rsidRPr="00856B08">
        <w:rPr>
          <w:rFonts w:ascii="Courier New" w:hAnsi="Courier New" w:cs="Courier New"/>
          <w:strike/>
        </w:rPr>
        <w:t>º</w:t>
      </w:r>
      <w:r w:rsidRPr="00856B08">
        <w:rPr>
          <w:rFonts w:ascii="Courier New" w:hAnsi="Courier New" w:cs="Courier New"/>
        </w:rPr>
        <w:t xml:space="preserve"> A base de cálculo é o valor venal do imóvel.</w:t>
      </w:r>
    </w:p>
    <w:p w:rsidR="00B3293A" w:rsidRPr="00856B08" w:rsidRDefault="00B3293A">
      <w:pPr>
        <w:pStyle w:val="corpomenor"/>
        <w:rPr>
          <w:rFonts w:ascii="Courier New" w:hAnsi="Courier New" w:cs="Courier New"/>
        </w:rPr>
      </w:pPr>
      <w:r w:rsidRPr="00856B08">
        <w:rPr>
          <w:rFonts w:ascii="Courier New" w:hAnsi="Courier New" w:cs="Courier New"/>
        </w:rPr>
        <w:t>Art. 4</w:t>
      </w:r>
      <w:r w:rsidRPr="00856B08">
        <w:rPr>
          <w:rFonts w:ascii="Courier New" w:hAnsi="Courier New" w:cs="Courier New"/>
          <w:strike/>
        </w:rPr>
        <w:t>º</w:t>
      </w:r>
      <w:r w:rsidRPr="00856B08">
        <w:rPr>
          <w:rFonts w:ascii="Courier New" w:hAnsi="Courier New" w:cs="Courier New"/>
        </w:rPr>
        <w:t xml:space="preserve"> A alíquota é de 0,1%.</w:t>
      </w:r>
    </w:p>
    <w:p w:rsidR="00B3293A" w:rsidRPr="00856B08" w:rsidRDefault="00B3293A">
      <w:pPr>
        <w:pStyle w:val="corpomenor"/>
        <w:rPr>
          <w:rFonts w:ascii="Courier New" w:hAnsi="Courier New" w:cs="Courier New"/>
        </w:rPr>
      </w:pPr>
      <w:r w:rsidRPr="00856B08">
        <w:rPr>
          <w:rFonts w:ascii="Courier New" w:hAnsi="Courier New" w:cs="Courier New"/>
        </w:rPr>
        <w:lastRenderedPageBreak/>
        <w:t>Art. 5</w:t>
      </w:r>
      <w:r w:rsidRPr="00856B08">
        <w:rPr>
          <w:rFonts w:ascii="Courier New" w:hAnsi="Courier New" w:cs="Courier New"/>
          <w:strike/>
        </w:rPr>
        <w:t>º</w:t>
      </w:r>
      <w:r w:rsidRPr="00856B08">
        <w:rPr>
          <w:rFonts w:ascii="Courier New" w:hAnsi="Courier New" w:cs="Courier New"/>
        </w:rPr>
        <w:t xml:space="preserve"> O contribuinte é o proprietário do imóvel.</w:t>
      </w:r>
    </w:p>
    <w:p w:rsidR="00B3293A" w:rsidRPr="00856B08" w:rsidRDefault="00B3293A">
      <w:pPr>
        <w:pStyle w:val="corpomenor"/>
        <w:rPr>
          <w:rFonts w:ascii="Courier New" w:hAnsi="Courier New" w:cs="Courier New"/>
        </w:rPr>
      </w:pPr>
      <w:r w:rsidRPr="00856B08">
        <w:rPr>
          <w:rFonts w:ascii="Courier New" w:hAnsi="Courier New" w:cs="Courier New"/>
        </w:rPr>
        <w:t>Art. 6</w:t>
      </w:r>
      <w:r w:rsidRPr="00856B08">
        <w:rPr>
          <w:rFonts w:ascii="Courier New" w:hAnsi="Courier New" w:cs="Courier New"/>
          <w:strike/>
        </w:rPr>
        <w:t>º</w:t>
      </w:r>
      <w:r w:rsidRPr="00856B08">
        <w:rPr>
          <w:rFonts w:ascii="Courier New" w:hAnsi="Courier New" w:cs="Courier New"/>
        </w:rPr>
        <w:t xml:space="preserve"> Dá-se a incidência todo dia 1</w:t>
      </w:r>
      <w:r w:rsidRPr="00856B08">
        <w:rPr>
          <w:rFonts w:ascii="Courier New" w:hAnsi="Courier New" w:cs="Courier New"/>
          <w:strike/>
        </w:rPr>
        <w:t>º</w:t>
      </w:r>
      <w:r w:rsidRPr="00856B08">
        <w:rPr>
          <w:rFonts w:ascii="Courier New" w:hAnsi="Courier New" w:cs="Courier New"/>
        </w:rPr>
        <w:t xml:space="preserve"> de cada ano.</w:t>
      </w:r>
    </w:p>
    <w:p w:rsidR="00B3293A" w:rsidRPr="00856B08" w:rsidRDefault="00B3293A">
      <w:pPr>
        <w:pStyle w:val="corpomenor"/>
        <w:rPr>
          <w:rFonts w:ascii="Courier New" w:hAnsi="Courier New" w:cs="Courier New"/>
        </w:rPr>
      </w:pPr>
      <w:r w:rsidRPr="00856B08">
        <w:rPr>
          <w:rFonts w:ascii="Courier New" w:hAnsi="Courier New" w:cs="Courier New"/>
        </w:rPr>
        <w:t>Art. 7</w:t>
      </w:r>
      <w:r w:rsidRPr="00856B08">
        <w:rPr>
          <w:rFonts w:ascii="Courier New" w:hAnsi="Courier New" w:cs="Courier New"/>
          <w:strike/>
        </w:rPr>
        <w:t>º</w:t>
      </w:r>
      <w:r w:rsidRPr="00856B08">
        <w:rPr>
          <w:rFonts w:ascii="Courier New" w:hAnsi="Courier New" w:cs="Courier New"/>
        </w:rPr>
        <w:t xml:space="preserve"> A importância devida a título de tributo deve ser recolhida até o décimo dia do segundo mês subsequente.</w:t>
      </w:r>
    </w:p>
    <w:p w:rsidR="00B3293A" w:rsidRPr="00856B08" w:rsidRDefault="00B3293A">
      <w:pPr>
        <w:pStyle w:val="corpomenor"/>
        <w:rPr>
          <w:rFonts w:ascii="Courier New" w:hAnsi="Courier New" w:cs="Courier New"/>
        </w:rPr>
      </w:pPr>
      <w:r w:rsidRPr="00856B08">
        <w:rPr>
          <w:rFonts w:ascii="Courier New" w:hAnsi="Courier New" w:cs="Courier New"/>
        </w:rPr>
        <w:t>§ 1</w:t>
      </w:r>
      <w:r w:rsidRPr="00856B08">
        <w:rPr>
          <w:rFonts w:ascii="Courier New" w:hAnsi="Courier New" w:cs="Courier New"/>
          <w:strike/>
        </w:rPr>
        <w:t>º</w:t>
      </w:r>
      <w:r w:rsidRPr="00856B08">
        <w:rPr>
          <w:rFonts w:ascii="Courier New" w:hAnsi="Courier New" w:cs="Courier New"/>
        </w:rPr>
        <w:t xml:space="preserve"> No caso de locação, o locatário é responsável pelo recolhimento do tributo.</w:t>
      </w:r>
    </w:p>
    <w:p w:rsidR="00B3293A" w:rsidRPr="00856B08" w:rsidRDefault="00B3293A">
      <w:pPr>
        <w:pStyle w:val="corpomenor"/>
        <w:rPr>
          <w:rFonts w:ascii="Courier New" w:hAnsi="Courier New" w:cs="Courier New"/>
        </w:rPr>
      </w:pPr>
      <w:r w:rsidRPr="00856B08">
        <w:rPr>
          <w:rFonts w:ascii="Courier New" w:hAnsi="Courier New" w:cs="Courier New"/>
        </w:rPr>
        <w:t>§ 2</w:t>
      </w:r>
      <w:r w:rsidRPr="00856B08">
        <w:rPr>
          <w:rFonts w:ascii="Courier New" w:hAnsi="Courier New" w:cs="Courier New"/>
          <w:strike/>
        </w:rPr>
        <w:t>º</w:t>
      </w:r>
      <w:r w:rsidRPr="00856B08">
        <w:rPr>
          <w:rFonts w:ascii="Courier New" w:hAnsi="Courier New" w:cs="Courier New"/>
        </w:rPr>
        <w:t xml:space="preserve"> No caso de compra e venda realizada antes do prazo para o pagamento e após o 1</w:t>
      </w:r>
      <w:r w:rsidRPr="00856B08">
        <w:rPr>
          <w:rFonts w:ascii="Courier New" w:hAnsi="Courier New" w:cs="Courier New"/>
          <w:strike/>
        </w:rPr>
        <w:t>º</w:t>
      </w:r>
      <w:r w:rsidRPr="00856B08">
        <w:rPr>
          <w:rFonts w:ascii="Courier New" w:hAnsi="Courier New" w:cs="Courier New"/>
        </w:rPr>
        <w:t xml:space="preserve"> dia do ano, o responsável pelo pagamento do tributo é o adquirente do imóvel.</w:t>
      </w:r>
    </w:p>
    <w:p w:rsidR="00B3293A" w:rsidRPr="00856B08" w:rsidRDefault="00B3293A">
      <w:pPr>
        <w:pStyle w:val="corpomenor"/>
        <w:rPr>
          <w:rFonts w:ascii="Courier New" w:hAnsi="Courier New" w:cs="Courier New"/>
        </w:rPr>
      </w:pPr>
      <w:r w:rsidRPr="00856B08">
        <w:rPr>
          <w:rFonts w:ascii="Courier New" w:hAnsi="Courier New" w:cs="Courier New"/>
        </w:rPr>
        <w:t>§ 3</w:t>
      </w:r>
      <w:r w:rsidRPr="00856B08">
        <w:rPr>
          <w:rFonts w:ascii="Courier New" w:hAnsi="Courier New" w:cs="Courier New"/>
          <w:strike/>
        </w:rPr>
        <w:t>º</w:t>
      </w:r>
      <w:r w:rsidRPr="00856B08">
        <w:rPr>
          <w:rFonts w:ascii="Courier New" w:hAnsi="Courier New" w:cs="Courier New"/>
        </w:rPr>
        <w:t xml:space="preserve"> O não recolhimento no prazo estipulado implica multa de 20% do valor do tributo devido.</w:t>
      </w:r>
    </w:p>
    <w:p w:rsidR="00B3293A" w:rsidRPr="00856B08" w:rsidRDefault="00B3293A">
      <w:pPr>
        <w:pStyle w:val="corpomenor"/>
        <w:rPr>
          <w:rFonts w:ascii="Courier New" w:hAnsi="Courier New" w:cs="Courier New"/>
        </w:rPr>
      </w:pPr>
      <w:r w:rsidRPr="00856B08">
        <w:rPr>
          <w:rFonts w:ascii="Courier New" w:hAnsi="Courier New" w:cs="Courier New"/>
        </w:rPr>
        <w:t>Art. 8</w:t>
      </w:r>
      <w:r w:rsidRPr="00856B08">
        <w:rPr>
          <w:rFonts w:ascii="Courier New" w:hAnsi="Courier New" w:cs="Courier New"/>
          <w:strike/>
        </w:rPr>
        <w:t>º</w:t>
      </w:r>
      <w:r w:rsidRPr="00856B08">
        <w:rPr>
          <w:rFonts w:ascii="Courier New" w:hAnsi="Courier New" w:cs="Courier New"/>
        </w:rPr>
        <w:t xml:space="preserve"> Fica o contribuinte obrigado a entregar para a Secretaria de Planejamento Urbano declaração do valor imobiliário até o dia 10 de novembro de cada ano.</w:t>
      </w:r>
    </w:p>
    <w:p w:rsidR="00B3293A" w:rsidRPr="00856B08" w:rsidRDefault="00B3293A">
      <w:pPr>
        <w:pStyle w:val="corpomenor"/>
        <w:rPr>
          <w:rFonts w:ascii="Courier New" w:hAnsi="Courier New" w:cs="Courier New"/>
        </w:rPr>
      </w:pPr>
      <w:r w:rsidRPr="00856B08">
        <w:rPr>
          <w:rFonts w:ascii="Courier New" w:hAnsi="Courier New" w:cs="Courier New"/>
        </w:rPr>
        <w:t xml:space="preserve">Parágrafo único. A ausência da entrega no prazo a que se refere o </w:t>
      </w:r>
      <w:r w:rsidRPr="00856B08">
        <w:rPr>
          <w:rFonts w:ascii="Courier New" w:hAnsi="Courier New" w:cs="Courier New"/>
          <w:i/>
          <w:iCs/>
        </w:rPr>
        <w:t>caput</w:t>
      </w:r>
      <w:r w:rsidRPr="00856B08">
        <w:rPr>
          <w:rFonts w:ascii="Courier New" w:hAnsi="Courier New" w:cs="Courier New"/>
        </w:rPr>
        <w:t xml:space="preserve"> deste artigo implicará multa de 100 UFIRS.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Pergunta-se: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a) Construir as normas jurídicas veiculadas nessa lei, identificando os critérios do consequente da RMIT.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b) Quais as funções da base de cálculo? A base de cálculo eleita é compatível com a hipótese tributária? Se incompatíveis, qual deve prevalecer para efeito de se determinar a espécie tributária: o enu</w:t>
      </w:r>
      <w:r w:rsidRPr="004E41F2">
        <w:rPr>
          <w:rFonts w:ascii="Arial" w:hAnsi="Arial" w:cs="Arial"/>
        </w:rPr>
        <w:t>n</w:t>
      </w:r>
      <w:r w:rsidRPr="004E41F2">
        <w:rPr>
          <w:rFonts w:ascii="Arial" w:hAnsi="Arial" w:cs="Arial"/>
        </w:rPr>
        <w:t>ciado da hipótese tributária ou o enunciado da base de cálculo? Ambos? Nenhum dos dois?</w:t>
      </w:r>
    </w:p>
    <w:p w:rsidR="00856B08" w:rsidRDefault="00856B08">
      <w:pPr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:rsidR="00B3293A" w:rsidRPr="004E41F2" w:rsidRDefault="00B3293A">
      <w:pPr>
        <w:pStyle w:val="Semestilodepargrafo"/>
        <w:tabs>
          <w:tab w:val="right" w:leader="dot" w:pos="5954"/>
        </w:tabs>
        <w:spacing w:after="227"/>
        <w:jc w:val="center"/>
        <w:rPr>
          <w:rFonts w:ascii="Arial" w:hAnsi="Arial" w:cs="Arial"/>
          <w:sz w:val="48"/>
          <w:szCs w:val="48"/>
        </w:rPr>
      </w:pPr>
      <w:r w:rsidRPr="004E41F2">
        <w:rPr>
          <w:rFonts w:ascii="Arial" w:hAnsi="Arial" w:cs="Arial"/>
          <w:b/>
          <w:bCs/>
          <w:sz w:val="44"/>
          <w:szCs w:val="44"/>
        </w:rPr>
        <w:lastRenderedPageBreak/>
        <w:t xml:space="preserve">Seminário </w:t>
      </w:r>
      <w:r w:rsidRPr="004E41F2">
        <w:rPr>
          <w:rFonts w:ascii="Arial" w:hAnsi="Arial" w:cs="Arial"/>
          <w:b/>
          <w:bCs/>
          <w:sz w:val="48"/>
          <w:szCs w:val="48"/>
        </w:rPr>
        <w:t>II</w:t>
      </w:r>
    </w:p>
    <w:p w:rsidR="00B3293A" w:rsidRPr="004E41F2" w:rsidRDefault="00B3293A">
      <w:pPr>
        <w:pStyle w:val="seminrio1"/>
        <w:suppressAutoHyphens/>
        <w:rPr>
          <w:rFonts w:ascii="Arial" w:hAnsi="Arial" w:cs="Arial"/>
        </w:rPr>
      </w:pPr>
      <w:r w:rsidRPr="004E41F2">
        <w:rPr>
          <w:rFonts w:ascii="Arial" w:hAnsi="Arial" w:cs="Arial"/>
        </w:rPr>
        <w:t>CONTROLE PROCESSUAL DA INCIDÊNCIA: DECLARAÇÃO DE INCONSTITUCIONALIDADE</w:t>
      </w:r>
    </w:p>
    <w:p w:rsidR="00B3293A" w:rsidRPr="004E41F2" w:rsidRDefault="00B3293A">
      <w:pPr>
        <w:pStyle w:val="1"/>
        <w:rPr>
          <w:rFonts w:ascii="Arial" w:hAnsi="Arial" w:cs="Arial"/>
          <w:w w:val="100"/>
        </w:rPr>
      </w:pPr>
      <w:r w:rsidRPr="004E41F2">
        <w:rPr>
          <w:rFonts w:ascii="Arial" w:hAnsi="Arial" w:cs="Arial"/>
          <w:w w:val="100"/>
        </w:rPr>
        <w:t>Questões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1.</w:t>
      </w:r>
      <w:r w:rsidRPr="004E41F2">
        <w:rPr>
          <w:rFonts w:ascii="Arial" w:hAnsi="Arial" w:cs="Arial"/>
        </w:rPr>
        <w:tab/>
        <w:t>Quais são os instrumentos de controle de constitucionalidade? E</w:t>
      </w:r>
      <w:r w:rsidRPr="004E41F2">
        <w:rPr>
          <w:rFonts w:ascii="Arial" w:hAnsi="Arial" w:cs="Arial"/>
        </w:rPr>
        <w:t>x</w:t>
      </w:r>
      <w:r w:rsidRPr="004E41F2">
        <w:rPr>
          <w:rFonts w:ascii="Arial" w:hAnsi="Arial" w:cs="Arial"/>
        </w:rPr>
        <w:t>plicar as diferentes técnicas de interpretação adotadas pelo STF no controle de constitucionalidade. Explicar a modulação de efeitos prescrita no artigo 27 da Lei n. 9.868/99.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2.</w:t>
      </w:r>
      <w:r w:rsidRPr="004E41F2">
        <w:rPr>
          <w:rFonts w:ascii="Arial" w:hAnsi="Arial" w:cs="Arial"/>
        </w:rPr>
        <w:tab/>
        <w:t>Os conceitos de controle concreto e abstrato de constitucionalidade podem ser equiparados aos conceitos de controle difuso e conce</w:t>
      </w:r>
      <w:r w:rsidRPr="004E41F2">
        <w:rPr>
          <w:rFonts w:ascii="Arial" w:hAnsi="Arial" w:cs="Arial"/>
        </w:rPr>
        <w:t>n</w:t>
      </w:r>
      <w:r w:rsidRPr="004E41F2">
        <w:rPr>
          <w:rFonts w:ascii="Arial" w:hAnsi="Arial" w:cs="Arial"/>
        </w:rPr>
        <w:t>trado, respectivamente? Que espécie de controle de constitucion</w:t>
      </w:r>
      <w:r w:rsidRPr="004E41F2">
        <w:rPr>
          <w:rFonts w:ascii="Arial" w:hAnsi="Arial" w:cs="Arial"/>
        </w:rPr>
        <w:t>a</w:t>
      </w:r>
      <w:r w:rsidRPr="004E41F2">
        <w:rPr>
          <w:rFonts w:ascii="Arial" w:hAnsi="Arial" w:cs="Arial"/>
        </w:rPr>
        <w:t>lidade o STF exerce ao analisar pretensão deduzida em ação de r</w:t>
      </w:r>
      <w:r w:rsidRPr="004E41F2">
        <w:rPr>
          <w:rFonts w:ascii="Arial" w:hAnsi="Arial" w:cs="Arial"/>
        </w:rPr>
        <w:t>e</w:t>
      </w:r>
      <w:r w:rsidRPr="004E41F2">
        <w:rPr>
          <w:rFonts w:ascii="Arial" w:hAnsi="Arial" w:cs="Arial"/>
        </w:rPr>
        <w:t>clamação (art. 102, I, “l”, da CF)? Concreto ou abstrato, difuso ou concentrado?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3.</w:t>
      </w:r>
      <w:r w:rsidRPr="004E41F2">
        <w:rPr>
          <w:rFonts w:ascii="Arial" w:hAnsi="Arial" w:cs="Arial"/>
        </w:rPr>
        <w:tab/>
        <w:t>Que significa afirmar que as sentenças produzidas em sede de ADIN e ADECON possuem “efeito dúplice”? As decisões proferidas em sede de ADIN e ADECON sempre vinculam os demais órgãos do Poder Executivo e Judiciário? E os órgãos do Poder Legislativo? O efeito vinculante da súmula referida no art. 103-A, da CF/88, intr</w:t>
      </w:r>
      <w:r w:rsidRPr="004E41F2">
        <w:rPr>
          <w:rFonts w:ascii="Arial" w:hAnsi="Arial" w:cs="Arial"/>
        </w:rPr>
        <w:t>o</w:t>
      </w:r>
      <w:r w:rsidRPr="004E41F2">
        <w:rPr>
          <w:rFonts w:ascii="Arial" w:hAnsi="Arial" w:cs="Arial"/>
        </w:rPr>
        <w:t>duzido pela EC n. 45/04, é o mesmo da ADIN? Justifique sua re</w:t>
      </w:r>
      <w:r w:rsidRPr="004E41F2">
        <w:rPr>
          <w:rFonts w:ascii="Arial" w:hAnsi="Arial" w:cs="Arial"/>
        </w:rPr>
        <w:t>s</w:t>
      </w:r>
      <w:r w:rsidRPr="004E41F2">
        <w:rPr>
          <w:rFonts w:ascii="Arial" w:hAnsi="Arial" w:cs="Arial"/>
        </w:rPr>
        <w:t>posta.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4.</w:t>
      </w:r>
      <w:r w:rsidRPr="004E41F2">
        <w:rPr>
          <w:rFonts w:ascii="Arial" w:hAnsi="Arial" w:cs="Arial"/>
        </w:rPr>
        <w:tab/>
        <w:t>O Supremo Tribunal Federal tem a prerrogativa de rever seus pos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 xml:space="preserve">cionamentos ou também está inexoravelmente vinculado às decisões por ele produzidas em controle abstrato de constitucionalidade? Se </w:t>
      </w:r>
      <w:r w:rsidRPr="004E41F2">
        <w:rPr>
          <w:rFonts w:ascii="Arial" w:hAnsi="Arial" w:cs="Arial"/>
        </w:rPr>
        <w:lastRenderedPageBreak/>
        <w:t>determinada lei tributária, num dado momento histórico, é declarada constitucional em sede de ADECON, poderá, futuramente, após mudança substancial dos membros desse tribunal, ser declarada inconstitucional em sede de ADIN? (Vide ADI n. 223- MC, no site www.stf.jus.br).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5.</w:t>
      </w:r>
      <w:r w:rsidRPr="004E41F2">
        <w:rPr>
          <w:rFonts w:ascii="Arial" w:hAnsi="Arial" w:cs="Arial"/>
        </w:rPr>
        <w:tab/>
        <w:t>O parágrafo único do art. 741 do CPC prevê a possibilidade de desconstituição, por meio de embargos à execução, de título exec</w:t>
      </w:r>
      <w:r w:rsidRPr="004E41F2">
        <w:rPr>
          <w:rFonts w:ascii="Arial" w:hAnsi="Arial" w:cs="Arial"/>
        </w:rPr>
        <w:t>u</w:t>
      </w:r>
      <w:r w:rsidRPr="004E41F2">
        <w:rPr>
          <w:rFonts w:ascii="Arial" w:hAnsi="Arial" w:cs="Arial"/>
        </w:rPr>
        <w:t>tivo fundado em lei ou ato normativo declarados inconstitucionais pelo Supremo Tribunal Federal ou em aplicação ou interpretação tidas por incompatíveis com a Constituição Federal. Pergunta-se: (i) A declaração de inconstitucionalidade a que ele se refere é a prov</w:t>
      </w:r>
      <w:r w:rsidRPr="004E41F2">
        <w:rPr>
          <w:rFonts w:ascii="Arial" w:hAnsi="Arial" w:cs="Arial"/>
        </w:rPr>
        <w:t>e</w:t>
      </w:r>
      <w:r w:rsidRPr="004E41F2">
        <w:rPr>
          <w:rFonts w:ascii="Arial" w:hAnsi="Arial" w:cs="Arial"/>
        </w:rPr>
        <w:t>niente de controle abstrato ou também inclui aquelas emanadas em controle concreto? (ii) É necessário que a declaração de inconstit</w:t>
      </w:r>
      <w:r w:rsidRPr="004E41F2">
        <w:rPr>
          <w:rFonts w:ascii="Arial" w:hAnsi="Arial" w:cs="Arial"/>
        </w:rPr>
        <w:t>u</w:t>
      </w:r>
      <w:r w:rsidRPr="004E41F2">
        <w:rPr>
          <w:rFonts w:ascii="Arial" w:hAnsi="Arial" w:cs="Arial"/>
        </w:rPr>
        <w:t>cionalidade seja anterior à formação do título executivo? Essa al</w:t>
      </w:r>
      <w:r w:rsidRPr="004E41F2">
        <w:rPr>
          <w:rFonts w:ascii="Arial" w:hAnsi="Arial" w:cs="Arial"/>
        </w:rPr>
        <w:t>e</w:t>
      </w:r>
      <w:r w:rsidRPr="004E41F2">
        <w:rPr>
          <w:rFonts w:ascii="Arial" w:hAnsi="Arial" w:cs="Arial"/>
        </w:rPr>
        <w:t>gação pode perfazer conteúdo de eventual exceção de pré-executividade ou restringe-se aos embargos do devedor? (Vide anexo I).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6.</w:t>
      </w:r>
      <w:r w:rsidRPr="004E41F2">
        <w:rPr>
          <w:rFonts w:ascii="Arial" w:hAnsi="Arial" w:cs="Arial"/>
        </w:rPr>
        <w:tab/>
        <w:t>Contribuinte ajuíza ação declaratória de inexistência de relação jur</w:t>
      </w:r>
      <w:r w:rsidRPr="004E41F2">
        <w:rPr>
          <w:rFonts w:ascii="Arial" w:hAnsi="Arial" w:cs="Arial"/>
        </w:rPr>
        <w:t>í</w:t>
      </w:r>
      <w:r w:rsidRPr="004E41F2">
        <w:rPr>
          <w:rFonts w:ascii="Arial" w:hAnsi="Arial" w:cs="Arial"/>
        </w:rPr>
        <w:t>dico-tributária que o obrigue em relação a tributo instituído pela lei n. X.XXX/SP, que seria, em seu sentir, inconstitucional por violar a competência do Estado em matéria de imposto. Paralelamente a isso, o STF, em sede de ADIN, declara constitucional a Lei n. Y.YYY/RJ, de teor idêntico, fazendo-o, contudo, em relação a a</w:t>
      </w:r>
      <w:r w:rsidRPr="004E41F2">
        <w:rPr>
          <w:rFonts w:ascii="Arial" w:hAnsi="Arial" w:cs="Arial"/>
        </w:rPr>
        <w:t>r</w:t>
      </w:r>
      <w:r w:rsidRPr="004E41F2">
        <w:rPr>
          <w:rFonts w:ascii="Arial" w:hAnsi="Arial" w:cs="Arial"/>
        </w:rPr>
        <w:t>gumento diverso. Pergunta-se: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a) A sentença a ser proferida pelo juiz da ação declaratória está submetida ao efeito vinculante da decisão do STF? Como deve o juiz da ação declaratória agir: (i) examinar o mérito da ação, ou (ii) e</w:t>
      </w:r>
      <w:r w:rsidRPr="004E41F2">
        <w:rPr>
          <w:rFonts w:ascii="Arial" w:hAnsi="Arial" w:cs="Arial"/>
        </w:rPr>
        <w:t>x</w:t>
      </w:r>
      <w:r w:rsidRPr="004E41F2">
        <w:rPr>
          <w:rFonts w:ascii="Arial" w:hAnsi="Arial" w:cs="Arial"/>
        </w:rPr>
        <w:t>tingui-la, sem julgamento do direito material? (Vide votos na Recl. n. 3014/SP no site www.stf.jus.br).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b) Se o STF tivesse se pronunciado sobre o mesmo argumento veiculado na ação declaratória (violação à competência do Estado em matéria de imposto), qual solução se colocaria adequada?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lastRenderedPageBreak/>
        <w:tab/>
        <w:t>c) Se a referida ação declaratória já tivesse sido definitivamente julgada, poder-se-ia falar em ação rescisória com base no julgamento do STF? E se o prazo para propositura dessa ação (02 anos) estiver exaurido? (Vide anexo II).</w:t>
      </w:r>
    </w:p>
    <w:p w:rsidR="00B3293A" w:rsidRPr="004E41F2" w:rsidRDefault="00325476">
      <w:pPr>
        <w:pStyle w:val="texto"/>
        <w:ind w:firstLine="0"/>
        <w:rPr>
          <w:rFonts w:ascii="Arial" w:hAnsi="Arial" w:cs="Arial"/>
        </w:rPr>
      </w:pPr>
      <w:r w:rsidRPr="004E41F2">
        <w:rPr>
          <w:rFonts w:ascii="Arial" w:hAnsi="Arial" w:cs="Arial"/>
        </w:rPr>
        <w:br w:type="page"/>
      </w:r>
    </w:p>
    <w:p w:rsidR="00B3293A" w:rsidRPr="004E41F2" w:rsidRDefault="00B3293A">
      <w:pPr>
        <w:pStyle w:val="Semestilodepargrafo"/>
        <w:tabs>
          <w:tab w:val="right" w:leader="dot" w:pos="5954"/>
        </w:tabs>
        <w:spacing w:after="227"/>
        <w:jc w:val="center"/>
        <w:rPr>
          <w:rFonts w:ascii="Arial" w:hAnsi="Arial" w:cs="Arial"/>
          <w:sz w:val="48"/>
          <w:szCs w:val="48"/>
        </w:rPr>
      </w:pPr>
      <w:r w:rsidRPr="004E41F2">
        <w:rPr>
          <w:rFonts w:ascii="Arial" w:hAnsi="Arial" w:cs="Arial"/>
          <w:b/>
          <w:bCs/>
          <w:sz w:val="44"/>
          <w:szCs w:val="44"/>
        </w:rPr>
        <w:lastRenderedPageBreak/>
        <w:t xml:space="preserve">Seminário </w:t>
      </w:r>
      <w:r w:rsidRPr="004E41F2">
        <w:rPr>
          <w:rFonts w:ascii="Arial" w:hAnsi="Arial" w:cs="Arial"/>
          <w:b/>
          <w:bCs/>
          <w:sz w:val="48"/>
          <w:szCs w:val="48"/>
        </w:rPr>
        <w:t>III</w:t>
      </w:r>
    </w:p>
    <w:p w:rsidR="00B3293A" w:rsidRPr="004E41F2" w:rsidRDefault="00B3293A">
      <w:pPr>
        <w:pStyle w:val="seminrio1"/>
        <w:suppressAutoHyphens/>
        <w:rPr>
          <w:rFonts w:ascii="Arial" w:hAnsi="Arial" w:cs="Arial"/>
        </w:rPr>
      </w:pPr>
      <w:r w:rsidRPr="004E41F2">
        <w:rPr>
          <w:rFonts w:ascii="Arial" w:hAnsi="Arial" w:cs="Arial"/>
        </w:rPr>
        <w:t>SISTEMA, COMPETÊNCIA E PRINCÍPIOS</w:t>
      </w:r>
    </w:p>
    <w:p w:rsidR="00B3293A" w:rsidRPr="004E41F2" w:rsidRDefault="00B3293A">
      <w:pPr>
        <w:pStyle w:val="1"/>
        <w:rPr>
          <w:rFonts w:ascii="Arial" w:hAnsi="Arial" w:cs="Arial"/>
          <w:w w:val="100"/>
        </w:rPr>
      </w:pPr>
      <w:r w:rsidRPr="004E41F2">
        <w:rPr>
          <w:rFonts w:ascii="Arial" w:hAnsi="Arial" w:cs="Arial"/>
          <w:w w:val="100"/>
        </w:rPr>
        <w:t>Questões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1.</w:t>
      </w:r>
      <w:r w:rsidRPr="004E41F2">
        <w:rPr>
          <w:rFonts w:ascii="Arial" w:hAnsi="Arial" w:cs="Arial"/>
        </w:rPr>
        <w:tab/>
        <w:t>Que é sistema? Há diferença entre sistema e ordenamento jurídico? Pode-se dizer que o direito positivo se caracteriza como um sistema?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2.</w:t>
      </w:r>
      <w:r w:rsidRPr="004E41F2">
        <w:rPr>
          <w:rFonts w:ascii="Arial" w:hAnsi="Arial" w:cs="Arial"/>
        </w:rPr>
        <w:tab/>
        <w:t>Que se entende por “sistema constitucional tributário”? Qual sua função no direito tributário?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3.</w:t>
      </w:r>
      <w:r w:rsidRPr="004E41F2">
        <w:rPr>
          <w:rFonts w:ascii="Arial" w:hAnsi="Arial" w:cs="Arial"/>
        </w:rPr>
        <w:tab/>
        <w:t>Que é princípio? Há diferença entre regras e princípios? No caso de conflito qual deve prevalecer? E no caso de conflito entre princípios, qual critério deve informar a solução? (Vide anexo I).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4.</w:t>
      </w:r>
      <w:r w:rsidRPr="004E41F2">
        <w:rPr>
          <w:rFonts w:ascii="Arial" w:hAnsi="Arial" w:cs="Arial"/>
        </w:rPr>
        <w:tab/>
        <w:t>Identificar, nas situações a seguir, se algum princípio foi desrespe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tado e, em caso afirmativo, indicar qual: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a) instituição e regulamentação de dever instrumental por meio de instrução normativa (vide anexo II);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b) estipulação de graus de risco da atividade laborativa (para o SAT) por meio de decreto (vide anexo III);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c) multas sancionatórias na percentagem de 75% (vide anexos IV e V);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d) imposto de importação com alíquota de 150%;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e) lei municipal ou distrital que institui responsabilidade pelo crédito tributário a terceira pessoa;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f) elaboração pelo CONFAZ de lista de produtos semielaborados sujeitos à incidência do ICMS (vide anexo VI).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5.</w:t>
      </w:r>
      <w:r w:rsidRPr="004E41F2">
        <w:rPr>
          <w:rFonts w:ascii="Arial" w:hAnsi="Arial" w:cs="Arial"/>
        </w:rPr>
        <w:tab/>
        <w:t>Que é competência tributária? Quais as características da comp</w:t>
      </w:r>
      <w:r w:rsidRPr="004E41F2">
        <w:rPr>
          <w:rFonts w:ascii="Arial" w:hAnsi="Arial" w:cs="Arial"/>
        </w:rPr>
        <w:t>e</w:t>
      </w:r>
      <w:r w:rsidRPr="004E41F2">
        <w:rPr>
          <w:rFonts w:ascii="Arial" w:hAnsi="Arial" w:cs="Arial"/>
        </w:rPr>
        <w:lastRenderedPageBreak/>
        <w:t>tência tributária? Analisar a facultatividade do seu exercício relat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vamente à Lei de Responsabilidade Fiscal (LC n. 101/2000), que veda a transferência voluntária de receitas a entes que tenham de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xado de instituir algum tributo de sua competência.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6.</w:t>
      </w:r>
      <w:r w:rsidRPr="004E41F2">
        <w:rPr>
          <w:rFonts w:ascii="Arial" w:hAnsi="Arial" w:cs="Arial"/>
        </w:rPr>
        <w:tab/>
        <w:t>A Emenda Constitucional n. 39/2002 acrescentou à Constituição o art. 149-A e parágrafo único, dispondo:</w:t>
      </w:r>
    </w:p>
    <w:p w:rsidR="00B3293A" w:rsidRPr="00E75E0B" w:rsidRDefault="00B3293A">
      <w:pPr>
        <w:pStyle w:val="10"/>
        <w:rPr>
          <w:rFonts w:ascii="Courier New" w:hAnsi="Courier New" w:cs="Courier New"/>
        </w:rPr>
      </w:pPr>
      <w:r w:rsidRPr="00E75E0B">
        <w:rPr>
          <w:rFonts w:ascii="Courier New" w:hAnsi="Courier New" w:cs="Courier New"/>
        </w:rPr>
        <w:tab/>
        <w:t>“Art. 149-A. Os Municípios e o Distrito Federal poderão instituir contribuição, na forma das re</w:t>
      </w:r>
      <w:r w:rsidRPr="00E75E0B">
        <w:rPr>
          <w:rFonts w:ascii="Courier New" w:hAnsi="Courier New" w:cs="Courier New"/>
        </w:rPr>
        <w:t>s</w:t>
      </w:r>
      <w:r w:rsidRPr="00E75E0B">
        <w:rPr>
          <w:rFonts w:ascii="Courier New" w:hAnsi="Courier New" w:cs="Courier New"/>
        </w:rPr>
        <w:t>pectivas leis, para o custeio do serviço de iluminação pública, observado o disposto no art. 150, I e III.</w:t>
      </w:r>
    </w:p>
    <w:p w:rsidR="00B3293A" w:rsidRPr="00E75E0B" w:rsidRDefault="00B3293A">
      <w:pPr>
        <w:pStyle w:val="10"/>
        <w:rPr>
          <w:rFonts w:ascii="Courier New" w:hAnsi="Courier New" w:cs="Courier New"/>
          <w:i/>
          <w:iCs/>
        </w:rPr>
      </w:pPr>
      <w:r w:rsidRPr="00E75E0B">
        <w:rPr>
          <w:rFonts w:ascii="Courier New" w:hAnsi="Courier New" w:cs="Courier New"/>
          <w:i/>
          <w:iCs/>
        </w:rPr>
        <w:tab/>
        <w:t xml:space="preserve">Parágrafo único. </w:t>
      </w:r>
      <w:r w:rsidRPr="00E75E0B">
        <w:rPr>
          <w:rFonts w:ascii="Courier New" w:hAnsi="Courier New" w:cs="Courier New"/>
        </w:rPr>
        <w:t>É facultada a cobrança da contr</w:t>
      </w:r>
      <w:r w:rsidRPr="00E75E0B">
        <w:rPr>
          <w:rFonts w:ascii="Courier New" w:hAnsi="Courier New" w:cs="Courier New"/>
        </w:rPr>
        <w:t>i</w:t>
      </w:r>
      <w:r w:rsidRPr="00E75E0B">
        <w:rPr>
          <w:rFonts w:ascii="Courier New" w:hAnsi="Courier New" w:cs="Courier New"/>
        </w:rPr>
        <w:t>buição a que se refere o caput, na fatura de consumo de energia elétrica</w:t>
      </w:r>
      <w:r w:rsidRPr="00E75E0B">
        <w:rPr>
          <w:rFonts w:ascii="Courier New" w:hAnsi="Courier New" w:cs="Courier New"/>
          <w:i/>
          <w:iCs/>
        </w:rPr>
        <w:t>”.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Com fundamento nesse dispositivo, a Prefeitura de Itumambé inst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tuiu o seguinte tributo:</w:t>
      </w:r>
    </w:p>
    <w:p w:rsidR="00B3293A" w:rsidRPr="00E75E0B" w:rsidRDefault="00B3293A">
      <w:pPr>
        <w:pStyle w:val="titcorpomenor"/>
        <w:rPr>
          <w:rFonts w:ascii="Courier New" w:hAnsi="Courier New" w:cs="Courier New"/>
          <w:spacing w:val="0"/>
          <w:w w:val="100"/>
        </w:rPr>
      </w:pPr>
      <w:r w:rsidRPr="00E75E0B">
        <w:rPr>
          <w:rFonts w:ascii="Courier New" w:hAnsi="Courier New" w:cs="Courier New"/>
          <w:spacing w:val="0"/>
          <w:w w:val="100"/>
        </w:rPr>
        <w:t>Prefeitura Municipal de Itumambé, Decreto Municipal 3.708 de 10/10/03 (DOM 13/10/03)</w:t>
      </w:r>
    </w:p>
    <w:p w:rsidR="00B3293A" w:rsidRPr="00E75E0B" w:rsidRDefault="00B3293A">
      <w:pPr>
        <w:pStyle w:val="corpomenor"/>
        <w:rPr>
          <w:rFonts w:ascii="Courier New" w:hAnsi="Courier New" w:cs="Courier New"/>
        </w:rPr>
      </w:pPr>
      <w:r w:rsidRPr="00E75E0B">
        <w:rPr>
          <w:rFonts w:ascii="Courier New" w:hAnsi="Courier New" w:cs="Courier New"/>
        </w:rPr>
        <w:t>Art. 1</w:t>
      </w:r>
      <w:r w:rsidRPr="00E75E0B">
        <w:rPr>
          <w:rFonts w:ascii="Courier New" w:hAnsi="Courier New" w:cs="Courier New"/>
          <w:strike/>
        </w:rPr>
        <w:t>º</w:t>
      </w:r>
      <w:r w:rsidRPr="00E75E0B">
        <w:rPr>
          <w:rFonts w:ascii="Courier New" w:hAnsi="Courier New" w:cs="Courier New"/>
        </w:rPr>
        <w:t xml:space="preserve"> Fica instituída contribuição para o custeio do serviço municipal de energia elétrica que tem como fato gerador a prestação do serviço de energia elétrica pelo Município.</w:t>
      </w:r>
    </w:p>
    <w:p w:rsidR="00B3293A" w:rsidRPr="00E75E0B" w:rsidRDefault="00B3293A">
      <w:pPr>
        <w:pStyle w:val="corpomenor"/>
        <w:rPr>
          <w:rFonts w:ascii="Courier New" w:hAnsi="Courier New" w:cs="Courier New"/>
        </w:rPr>
      </w:pPr>
      <w:r w:rsidRPr="00E75E0B">
        <w:rPr>
          <w:rFonts w:ascii="Courier New" w:hAnsi="Courier New" w:cs="Courier New"/>
        </w:rPr>
        <w:t>Art. 2</w:t>
      </w:r>
      <w:r w:rsidRPr="00E75E0B">
        <w:rPr>
          <w:rFonts w:ascii="Courier New" w:hAnsi="Courier New" w:cs="Courier New"/>
          <w:strike/>
        </w:rPr>
        <w:t>º</w:t>
      </w:r>
      <w:r w:rsidRPr="00E75E0B">
        <w:rPr>
          <w:rFonts w:ascii="Courier New" w:hAnsi="Courier New" w:cs="Courier New"/>
        </w:rPr>
        <w:t xml:space="preserve"> A base de cálculo é o valor da fatura de consumo de energia elétrica.</w:t>
      </w:r>
    </w:p>
    <w:p w:rsidR="00B3293A" w:rsidRPr="00E75E0B" w:rsidRDefault="00B3293A">
      <w:pPr>
        <w:pStyle w:val="corpomenor"/>
        <w:rPr>
          <w:rFonts w:ascii="Courier New" w:hAnsi="Courier New" w:cs="Courier New"/>
        </w:rPr>
      </w:pPr>
      <w:r w:rsidRPr="00E75E0B">
        <w:rPr>
          <w:rFonts w:ascii="Courier New" w:hAnsi="Courier New" w:cs="Courier New"/>
        </w:rPr>
        <w:t>§ 1</w:t>
      </w:r>
      <w:r w:rsidRPr="00E75E0B">
        <w:rPr>
          <w:rFonts w:ascii="Courier New" w:hAnsi="Courier New" w:cs="Courier New"/>
          <w:strike/>
        </w:rPr>
        <w:t>º</w:t>
      </w:r>
      <w:r w:rsidRPr="00E75E0B">
        <w:rPr>
          <w:rFonts w:ascii="Courier New" w:hAnsi="Courier New" w:cs="Courier New"/>
        </w:rPr>
        <w:t xml:space="preserve"> A alíquota é de 0,5%.</w:t>
      </w:r>
    </w:p>
    <w:p w:rsidR="00B3293A" w:rsidRPr="00E75E0B" w:rsidRDefault="00B3293A">
      <w:pPr>
        <w:pStyle w:val="corpomenor"/>
        <w:rPr>
          <w:rFonts w:ascii="Courier New" w:hAnsi="Courier New" w:cs="Courier New"/>
        </w:rPr>
      </w:pPr>
      <w:r w:rsidRPr="00E75E0B">
        <w:rPr>
          <w:rFonts w:ascii="Courier New" w:hAnsi="Courier New" w:cs="Courier New"/>
        </w:rPr>
        <w:t>§ 2</w:t>
      </w:r>
      <w:r w:rsidRPr="00E75E0B">
        <w:rPr>
          <w:rFonts w:ascii="Courier New" w:hAnsi="Courier New" w:cs="Courier New"/>
          <w:strike/>
        </w:rPr>
        <w:t>º</w:t>
      </w:r>
      <w:r w:rsidRPr="00E75E0B">
        <w:rPr>
          <w:rFonts w:ascii="Courier New" w:hAnsi="Courier New" w:cs="Courier New"/>
        </w:rPr>
        <w:t xml:space="preserve"> Os contribuintes que morarem na região central pagarão 50% a mais do valor devido.</w:t>
      </w:r>
    </w:p>
    <w:p w:rsidR="00B3293A" w:rsidRPr="00E75E0B" w:rsidRDefault="00B3293A">
      <w:pPr>
        <w:pStyle w:val="corpomenor"/>
        <w:rPr>
          <w:rFonts w:ascii="Courier New" w:hAnsi="Courier New" w:cs="Courier New"/>
        </w:rPr>
      </w:pPr>
      <w:r w:rsidRPr="00E75E0B">
        <w:rPr>
          <w:rFonts w:ascii="Courier New" w:hAnsi="Courier New" w:cs="Courier New"/>
        </w:rPr>
        <w:t>Art. 3</w:t>
      </w:r>
      <w:r w:rsidRPr="00E75E0B">
        <w:rPr>
          <w:rFonts w:ascii="Courier New" w:hAnsi="Courier New" w:cs="Courier New"/>
          <w:strike/>
        </w:rPr>
        <w:t>º</w:t>
      </w:r>
      <w:r w:rsidRPr="00E75E0B">
        <w:rPr>
          <w:rFonts w:ascii="Courier New" w:hAnsi="Courier New" w:cs="Courier New"/>
        </w:rPr>
        <w:t xml:space="preserve"> Contribuinte é o consumidor de energia elétrica.</w:t>
      </w:r>
    </w:p>
    <w:p w:rsidR="00B3293A" w:rsidRPr="00E75E0B" w:rsidRDefault="00B3293A">
      <w:pPr>
        <w:pStyle w:val="corpomenor"/>
        <w:rPr>
          <w:rFonts w:ascii="Courier New" w:hAnsi="Courier New" w:cs="Courier New"/>
        </w:rPr>
      </w:pPr>
      <w:r w:rsidRPr="00E75E0B">
        <w:rPr>
          <w:rFonts w:ascii="Courier New" w:hAnsi="Courier New" w:cs="Courier New"/>
        </w:rPr>
        <w:t>Art. 4</w:t>
      </w:r>
      <w:r w:rsidRPr="00E75E0B">
        <w:rPr>
          <w:rFonts w:ascii="Courier New" w:hAnsi="Courier New" w:cs="Courier New"/>
          <w:strike/>
        </w:rPr>
        <w:t>º</w:t>
      </w:r>
      <w:r w:rsidRPr="00E75E0B">
        <w:rPr>
          <w:rFonts w:ascii="Courier New" w:hAnsi="Courier New" w:cs="Courier New"/>
        </w:rPr>
        <w:t xml:space="preserve"> Compete à Secretaria de Finanças fiscalizar o abatimento realizado pela concessionária.</w:t>
      </w:r>
    </w:p>
    <w:p w:rsidR="00B3293A" w:rsidRPr="00E75E0B" w:rsidRDefault="00B3293A">
      <w:pPr>
        <w:pStyle w:val="corpomenor"/>
        <w:rPr>
          <w:rFonts w:ascii="Courier New" w:hAnsi="Courier New" w:cs="Courier New"/>
        </w:rPr>
      </w:pPr>
      <w:r w:rsidRPr="00E75E0B">
        <w:rPr>
          <w:rFonts w:ascii="Courier New" w:hAnsi="Courier New" w:cs="Courier New"/>
        </w:rPr>
        <w:t>Art. 5</w:t>
      </w:r>
      <w:r w:rsidRPr="00E75E0B">
        <w:rPr>
          <w:rFonts w:ascii="Courier New" w:hAnsi="Courier New" w:cs="Courier New"/>
          <w:strike/>
        </w:rPr>
        <w:t>º</w:t>
      </w:r>
      <w:r w:rsidRPr="00E75E0B">
        <w:rPr>
          <w:rFonts w:ascii="Courier New" w:hAnsi="Courier New" w:cs="Courier New"/>
        </w:rPr>
        <w:t xml:space="preserve"> A importância devida a título dessa contribuição deve ser paga até o último dia do mês subsequente e recolhida </w:t>
      </w:r>
      <w:r w:rsidRPr="00E75E0B">
        <w:rPr>
          <w:rFonts w:ascii="Courier New" w:hAnsi="Courier New" w:cs="Courier New"/>
        </w:rPr>
        <w:lastRenderedPageBreak/>
        <w:t>pela concessionária de energia elétrica juntamente com a fatura mensal de consumo, ficando a concessionária re</w:t>
      </w:r>
      <w:r w:rsidRPr="00E75E0B">
        <w:rPr>
          <w:rFonts w:ascii="Courier New" w:hAnsi="Courier New" w:cs="Courier New"/>
        </w:rPr>
        <w:t>s</w:t>
      </w:r>
      <w:r w:rsidRPr="00E75E0B">
        <w:rPr>
          <w:rFonts w:ascii="Courier New" w:hAnsi="Courier New" w:cs="Courier New"/>
        </w:rPr>
        <w:t>ponsável pelo abatimento do montante recolhido da fatura municipal.</w:t>
      </w:r>
    </w:p>
    <w:p w:rsidR="00B3293A" w:rsidRPr="00E75E0B" w:rsidRDefault="00B3293A">
      <w:pPr>
        <w:pStyle w:val="corpomenor"/>
        <w:rPr>
          <w:rFonts w:ascii="Courier New" w:hAnsi="Courier New" w:cs="Courier New"/>
        </w:rPr>
      </w:pPr>
      <w:r w:rsidRPr="00E75E0B">
        <w:rPr>
          <w:rFonts w:ascii="Courier New" w:hAnsi="Courier New" w:cs="Courier New"/>
        </w:rPr>
        <w:t>Parágrafo único. O não-pagamento da contribuição, ou o não repasse, implica multa de 150 UFIRs.</w:t>
      </w:r>
    </w:p>
    <w:p w:rsidR="00B3293A" w:rsidRPr="00E75E0B" w:rsidRDefault="00B3293A">
      <w:pPr>
        <w:pStyle w:val="corpomenor"/>
        <w:rPr>
          <w:rFonts w:ascii="Courier New" w:hAnsi="Courier New" w:cs="Courier New"/>
        </w:rPr>
      </w:pPr>
      <w:r w:rsidRPr="00E75E0B">
        <w:rPr>
          <w:rFonts w:ascii="Courier New" w:hAnsi="Courier New" w:cs="Courier New"/>
        </w:rPr>
        <w:t>Art. 6</w:t>
      </w:r>
      <w:r w:rsidRPr="00E75E0B">
        <w:rPr>
          <w:rFonts w:ascii="Courier New" w:hAnsi="Courier New" w:cs="Courier New"/>
          <w:strike/>
        </w:rPr>
        <w:t>º</w:t>
      </w:r>
      <w:r w:rsidRPr="00E75E0B">
        <w:rPr>
          <w:rFonts w:ascii="Courier New" w:hAnsi="Courier New" w:cs="Courier New"/>
        </w:rPr>
        <w:t xml:space="preserve"> Esta lei entra em vigor na data de sua publicação, devendo produzir todos os seus efeitos a partir do dia 01/11/03.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Pergunta-se: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a) O sistema constitucional tributário brasileiro admite alterações na faixa de competência tributária das pessoas políticas? Há alguma vedação à ampliação da competência tributária municipal por meio de emenda constitucional? Em caso afirmativo, qual(is)?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b) Os Municípios podem, na criação de tal contribuição, com fu</w:t>
      </w:r>
      <w:r w:rsidRPr="004E41F2">
        <w:rPr>
          <w:rFonts w:ascii="Arial" w:hAnsi="Arial" w:cs="Arial"/>
        </w:rPr>
        <w:t>n</w:t>
      </w:r>
      <w:r w:rsidRPr="004E41F2">
        <w:rPr>
          <w:rFonts w:ascii="Arial" w:hAnsi="Arial" w:cs="Arial"/>
        </w:rPr>
        <w:t>damento no art. 149-A da CF, utilizar uma das materialidades que lhes foram atribuídas constitucionalmente para a instituição de i</w:t>
      </w:r>
      <w:r w:rsidRPr="004E41F2">
        <w:rPr>
          <w:rFonts w:ascii="Arial" w:hAnsi="Arial" w:cs="Arial"/>
        </w:rPr>
        <w:t>m</w:t>
      </w:r>
      <w:r w:rsidRPr="004E41F2">
        <w:rPr>
          <w:rFonts w:ascii="Arial" w:hAnsi="Arial" w:cs="Arial"/>
        </w:rPr>
        <w:t>postos? E das materialidades atribuídas aos Estados, Distrito F</w:t>
      </w:r>
      <w:r w:rsidRPr="004E41F2">
        <w:rPr>
          <w:rFonts w:ascii="Arial" w:hAnsi="Arial" w:cs="Arial"/>
        </w:rPr>
        <w:t>e</w:t>
      </w:r>
      <w:r w:rsidRPr="004E41F2">
        <w:rPr>
          <w:rFonts w:ascii="Arial" w:hAnsi="Arial" w:cs="Arial"/>
        </w:rPr>
        <w:t>deral e União por ocasião da repartição constitucional das comp</w:t>
      </w:r>
      <w:r w:rsidRPr="004E41F2">
        <w:rPr>
          <w:rFonts w:ascii="Arial" w:hAnsi="Arial" w:cs="Arial"/>
        </w:rPr>
        <w:t>e</w:t>
      </w:r>
      <w:r w:rsidRPr="004E41F2">
        <w:rPr>
          <w:rFonts w:ascii="Arial" w:hAnsi="Arial" w:cs="Arial"/>
        </w:rPr>
        <w:t>tências para instituição de impostos? Há vedação constitucional quanto à materialidade eleita: “consumir energia”? Justifique (vide anexo VII).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c) Quais princípios tributários não foram observados pela Prefeitura de Itumambé ao instituir esse tributo?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d) A alteração do prazo de pagamento deve respeitar o princípio da anterioridade? (Vide anexo VIII).</w:t>
      </w:r>
    </w:p>
    <w:p w:rsidR="00856B08" w:rsidRDefault="00856B08">
      <w:pPr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:rsidR="00B3293A" w:rsidRPr="004E41F2" w:rsidRDefault="00B3293A">
      <w:pPr>
        <w:pStyle w:val="Semestilodepargrafo"/>
        <w:tabs>
          <w:tab w:val="right" w:leader="dot" w:pos="5954"/>
        </w:tabs>
        <w:spacing w:after="227"/>
        <w:jc w:val="center"/>
        <w:rPr>
          <w:rFonts w:ascii="Arial" w:hAnsi="Arial" w:cs="Arial"/>
          <w:sz w:val="48"/>
          <w:szCs w:val="48"/>
        </w:rPr>
      </w:pPr>
      <w:r w:rsidRPr="004E41F2">
        <w:rPr>
          <w:rFonts w:ascii="Arial" w:hAnsi="Arial" w:cs="Arial"/>
          <w:b/>
          <w:bCs/>
          <w:sz w:val="44"/>
          <w:szCs w:val="44"/>
        </w:rPr>
        <w:lastRenderedPageBreak/>
        <w:t xml:space="preserve">Seminário </w:t>
      </w:r>
      <w:r w:rsidRPr="004E41F2">
        <w:rPr>
          <w:rFonts w:ascii="Arial" w:hAnsi="Arial" w:cs="Arial"/>
          <w:b/>
          <w:bCs/>
          <w:sz w:val="48"/>
          <w:szCs w:val="48"/>
        </w:rPr>
        <w:t>IV</w:t>
      </w:r>
    </w:p>
    <w:p w:rsidR="00B3293A" w:rsidRPr="004E41F2" w:rsidRDefault="00B3293A">
      <w:pPr>
        <w:pStyle w:val="seminrio1"/>
        <w:spacing w:after="737"/>
        <w:rPr>
          <w:rFonts w:ascii="Arial" w:hAnsi="Arial" w:cs="Arial"/>
        </w:rPr>
      </w:pPr>
      <w:r w:rsidRPr="004E41F2">
        <w:rPr>
          <w:rFonts w:ascii="Arial" w:hAnsi="Arial" w:cs="Arial"/>
        </w:rPr>
        <w:t>IMUNIDADE E NORMAS GERAIS DE DIREITO TRIBUTÁRIO</w:t>
      </w:r>
    </w:p>
    <w:p w:rsidR="00B3293A" w:rsidRPr="004E41F2" w:rsidRDefault="00B3293A">
      <w:pPr>
        <w:pStyle w:val="1"/>
        <w:rPr>
          <w:rFonts w:ascii="Arial" w:hAnsi="Arial" w:cs="Arial"/>
          <w:w w:val="100"/>
        </w:rPr>
      </w:pPr>
      <w:r w:rsidRPr="004E41F2">
        <w:rPr>
          <w:rFonts w:ascii="Arial" w:hAnsi="Arial" w:cs="Arial"/>
          <w:w w:val="100"/>
        </w:rPr>
        <w:t>Questões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1.</w:t>
      </w:r>
      <w:r w:rsidRPr="004E41F2">
        <w:rPr>
          <w:rFonts w:ascii="Arial" w:hAnsi="Arial" w:cs="Arial"/>
        </w:rPr>
        <w:tab/>
        <w:t>Que é imunidade tributária? Diferençar imunidade, isenção, não-incidência e incidência tributária. O conceito de imunidade tr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butária pode ser aplicável às taxas e às contribuições de melhoria?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2.</w:t>
      </w:r>
      <w:r w:rsidRPr="004E41F2">
        <w:rPr>
          <w:rFonts w:ascii="Arial" w:hAnsi="Arial" w:cs="Arial"/>
        </w:rPr>
        <w:tab/>
        <w:t>As imunidades são cláusulas pétreas na Constituição Federal? Uma Emenda Constitucional pode revogar alguma das imunidades di</w:t>
      </w:r>
      <w:r w:rsidRPr="004E41F2">
        <w:rPr>
          <w:rFonts w:ascii="Arial" w:hAnsi="Arial" w:cs="Arial"/>
        </w:rPr>
        <w:t>s</w:t>
      </w:r>
      <w:r w:rsidRPr="004E41F2">
        <w:rPr>
          <w:rFonts w:ascii="Arial" w:hAnsi="Arial" w:cs="Arial"/>
        </w:rPr>
        <w:t>postas na Carta Magna? As normas constitucionais que veiculam imunidades são autoaplicáveis ou dependem de regulamentação i</w:t>
      </w:r>
      <w:r w:rsidRPr="004E41F2">
        <w:rPr>
          <w:rFonts w:ascii="Arial" w:hAnsi="Arial" w:cs="Arial"/>
        </w:rPr>
        <w:t>n</w:t>
      </w:r>
      <w:r w:rsidRPr="004E41F2">
        <w:rPr>
          <w:rFonts w:ascii="Arial" w:hAnsi="Arial" w:cs="Arial"/>
        </w:rPr>
        <w:t>fraconstitucional?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3.</w:t>
      </w:r>
      <w:r w:rsidRPr="004E41F2">
        <w:rPr>
          <w:rFonts w:ascii="Arial" w:hAnsi="Arial" w:cs="Arial"/>
        </w:rPr>
        <w:tab/>
        <w:t>Na sua opinião, são imunes: (a) quanto ao ISS: os serviços de guarda e estacionamento de veículos automotores prestados por entidades religiosas (vide anexos I e II); (b) quanto ao IPTU: o imóvel destinado à locação, pertencente à mesma entidade (vide anexo III); e os c</w:t>
      </w:r>
      <w:r w:rsidRPr="004E41F2">
        <w:rPr>
          <w:rFonts w:ascii="Arial" w:hAnsi="Arial" w:cs="Arial"/>
        </w:rPr>
        <w:t>e</w:t>
      </w:r>
      <w:r w:rsidRPr="004E41F2">
        <w:rPr>
          <w:rFonts w:ascii="Arial" w:hAnsi="Arial" w:cs="Arial"/>
        </w:rPr>
        <w:t>mitérios particulares (vide anexo IV); (c) quanto ao ITR: as áreas de reserva indígena (vide STF, Petição n. 3388, DJ 04/02/2014); (d) os serviços prestados por empresas públicas, p. ex.: Correios, Infraero e Casa da Moeda (vide anexos V, VI e VII) e (e) as sociedades de economia mista prestadoras de serviço público (vide anexo VIII). Justifique sua resposta.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4.</w:t>
      </w:r>
      <w:r w:rsidRPr="004E41F2">
        <w:rPr>
          <w:rFonts w:ascii="Arial" w:hAnsi="Arial" w:cs="Arial"/>
        </w:rPr>
        <w:tab/>
        <w:t>Como deve ser interpretado o disposto no art. 150, VI, “d” da CF: “livro, jornais e periódicos e o papel destinado a sua impressão”. Pode-se dizer que livros e periódicos eletrônicos, bem como o m</w:t>
      </w:r>
      <w:r w:rsidRPr="004E41F2">
        <w:rPr>
          <w:rFonts w:ascii="Arial" w:hAnsi="Arial" w:cs="Arial"/>
        </w:rPr>
        <w:t>a</w:t>
      </w:r>
      <w:r w:rsidRPr="004E41F2">
        <w:rPr>
          <w:rFonts w:ascii="Arial" w:hAnsi="Arial" w:cs="Arial"/>
        </w:rPr>
        <w:t xml:space="preserve">terial utilizado para sua produção são imunes com fundamento neste </w:t>
      </w:r>
      <w:r w:rsidRPr="004E41F2">
        <w:rPr>
          <w:rFonts w:ascii="Arial" w:hAnsi="Arial" w:cs="Arial"/>
        </w:rPr>
        <w:lastRenderedPageBreak/>
        <w:t>dispositivo? (Vide anexos IX, X e XI). E quanto aos insumos e equipamentos utilizados na produção de livros e periódicos impre</w:t>
      </w:r>
      <w:r w:rsidRPr="004E41F2">
        <w:rPr>
          <w:rFonts w:ascii="Arial" w:hAnsi="Arial" w:cs="Arial"/>
        </w:rPr>
        <w:t>s</w:t>
      </w:r>
      <w:r w:rsidRPr="004E41F2">
        <w:rPr>
          <w:rFonts w:ascii="Arial" w:hAnsi="Arial" w:cs="Arial"/>
        </w:rPr>
        <w:t>sos em papel?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5.</w:t>
      </w:r>
      <w:r w:rsidRPr="004E41F2">
        <w:rPr>
          <w:rFonts w:ascii="Arial" w:hAnsi="Arial" w:cs="Arial"/>
        </w:rPr>
        <w:tab/>
        <w:t>No caso da imunidade para as instituições de assistência social sem fins lucrativos, o cumprimento do art. 14 do CTN é suficiente para garantir sua aplicação ou ainda é necessária a comprovação do c</w:t>
      </w:r>
      <w:r w:rsidRPr="004E41F2">
        <w:rPr>
          <w:rFonts w:ascii="Arial" w:hAnsi="Arial" w:cs="Arial"/>
        </w:rPr>
        <w:t>a</w:t>
      </w:r>
      <w:r w:rsidRPr="004E41F2">
        <w:rPr>
          <w:rFonts w:ascii="Arial" w:hAnsi="Arial" w:cs="Arial"/>
        </w:rPr>
        <w:t>ráter assistencial e filantrópico previsto no art. 203 da CF/88? É possível que lei ordinária garanta sua aplicação? (Vide anexo XII).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6.</w:t>
      </w:r>
      <w:r w:rsidRPr="004E41F2">
        <w:rPr>
          <w:rFonts w:ascii="Arial" w:hAnsi="Arial" w:cs="Arial"/>
        </w:rPr>
        <w:tab/>
        <w:t xml:space="preserve">Explicar as diferenças entre as correntes dicotômica e tricotômica na aplicação das normas gerais de direito tributário. Precisar o sentido da expressão “normas </w:t>
      </w:r>
      <w:r w:rsidRPr="004E41F2">
        <w:rPr>
          <w:rFonts w:ascii="Arial" w:hAnsi="Arial" w:cs="Arial"/>
          <w:i/>
          <w:iCs/>
        </w:rPr>
        <w:t>gerais</w:t>
      </w:r>
      <w:r w:rsidRPr="004E41F2">
        <w:rPr>
          <w:rFonts w:ascii="Arial" w:hAnsi="Arial" w:cs="Arial"/>
        </w:rPr>
        <w:t xml:space="preserve"> de direito tributário”, diferenciando lei complementar nacional e lei complementar federal.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7.</w:t>
      </w:r>
      <w:r w:rsidRPr="004E41F2">
        <w:rPr>
          <w:rFonts w:ascii="Arial" w:hAnsi="Arial" w:cs="Arial"/>
        </w:rPr>
        <w:tab/>
        <w:t>O art. 146, inciso III, da CF, autoriza a lei complementar a definir os fatos geradores, bases de cálculo e contribuintes dos impostos já discriminados na Constituição? Isso não violaria o princípio da a</w:t>
      </w:r>
      <w:r w:rsidRPr="004E41F2">
        <w:rPr>
          <w:rFonts w:ascii="Arial" w:hAnsi="Arial" w:cs="Arial"/>
        </w:rPr>
        <w:t>u</w:t>
      </w:r>
      <w:r w:rsidRPr="004E41F2">
        <w:rPr>
          <w:rFonts w:ascii="Arial" w:hAnsi="Arial" w:cs="Arial"/>
        </w:rPr>
        <w:t>tonomia das pessoas políticas?</w:t>
      </w:r>
    </w:p>
    <w:p w:rsidR="00B3293A" w:rsidRPr="004E41F2" w:rsidRDefault="00325476">
      <w:pPr>
        <w:pStyle w:val="texto"/>
        <w:ind w:firstLine="0"/>
        <w:rPr>
          <w:rFonts w:ascii="Arial" w:hAnsi="Arial" w:cs="Arial"/>
        </w:rPr>
      </w:pPr>
      <w:r w:rsidRPr="004E41F2">
        <w:rPr>
          <w:rFonts w:ascii="Arial" w:hAnsi="Arial" w:cs="Arial"/>
        </w:rPr>
        <w:br w:type="page"/>
      </w:r>
    </w:p>
    <w:p w:rsidR="00B3293A" w:rsidRPr="004E41F2" w:rsidRDefault="00B3293A">
      <w:pPr>
        <w:pStyle w:val="Semestilodepargrafo"/>
        <w:tabs>
          <w:tab w:val="right" w:leader="dot" w:pos="5954"/>
        </w:tabs>
        <w:spacing w:after="227"/>
        <w:jc w:val="center"/>
        <w:rPr>
          <w:rFonts w:ascii="Arial" w:hAnsi="Arial" w:cs="Arial"/>
          <w:sz w:val="48"/>
          <w:szCs w:val="48"/>
        </w:rPr>
      </w:pPr>
      <w:r w:rsidRPr="004E41F2">
        <w:rPr>
          <w:rFonts w:ascii="Arial" w:hAnsi="Arial" w:cs="Arial"/>
          <w:b/>
          <w:bCs/>
          <w:sz w:val="44"/>
          <w:szCs w:val="44"/>
        </w:rPr>
        <w:lastRenderedPageBreak/>
        <w:t xml:space="preserve">Seminário </w:t>
      </w:r>
      <w:r w:rsidRPr="004E41F2">
        <w:rPr>
          <w:rFonts w:ascii="Arial" w:hAnsi="Arial" w:cs="Arial"/>
          <w:b/>
          <w:bCs/>
          <w:sz w:val="48"/>
          <w:szCs w:val="48"/>
        </w:rPr>
        <w:t>V</w:t>
      </w:r>
    </w:p>
    <w:p w:rsidR="00B3293A" w:rsidRPr="004E41F2" w:rsidRDefault="00B3293A">
      <w:pPr>
        <w:pStyle w:val="seminrio1"/>
        <w:rPr>
          <w:rFonts w:ascii="Arial" w:hAnsi="Arial" w:cs="Arial"/>
        </w:rPr>
      </w:pPr>
      <w:r w:rsidRPr="004E41F2">
        <w:rPr>
          <w:rFonts w:ascii="Arial" w:hAnsi="Arial" w:cs="Arial"/>
        </w:rPr>
        <w:t>TRIBUTAÇÃO INTERNACIONAL</w:t>
      </w:r>
    </w:p>
    <w:p w:rsidR="00B3293A" w:rsidRPr="004E41F2" w:rsidRDefault="00B3293A">
      <w:pPr>
        <w:pStyle w:val="1"/>
        <w:rPr>
          <w:rFonts w:ascii="Arial" w:hAnsi="Arial" w:cs="Arial"/>
          <w:w w:val="100"/>
        </w:rPr>
      </w:pPr>
      <w:r w:rsidRPr="004E41F2">
        <w:rPr>
          <w:rFonts w:ascii="Arial" w:hAnsi="Arial" w:cs="Arial"/>
          <w:w w:val="100"/>
        </w:rPr>
        <w:t>Questões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1.</w:t>
      </w:r>
      <w:r w:rsidRPr="004E41F2">
        <w:rPr>
          <w:rFonts w:ascii="Arial" w:hAnsi="Arial" w:cs="Arial"/>
        </w:rPr>
        <w:tab/>
        <w:t>Construa a RMIT dos Impostos de Importação e de Exportação. Qual o conceito de produto para fins de incidência destes tributos?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2.</w:t>
      </w:r>
      <w:r w:rsidRPr="004E41F2">
        <w:rPr>
          <w:rFonts w:ascii="Arial" w:hAnsi="Arial" w:cs="Arial"/>
        </w:rPr>
        <w:tab/>
        <w:t>A “lei” que impõe limites e condições à faculdade de Poder Executivo alterar as alíquotas do Imposto de Importação e do Imposto de E</w:t>
      </w:r>
      <w:r w:rsidRPr="004E41F2">
        <w:rPr>
          <w:rFonts w:ascii="Arial" w:hAnsi="Arial" w:cs="Arial"/>
        </w:rPr>
        <w:t>x</w:t>
      </w:r>
      <w:r w:rsidRPr="004E41F2">
        <w:rPr>
          <w:rFonts w:ascii="Arial" w:hAnsi="Arial" w:cs="Arial"/>
        </w:rPr>
        <w:t>portação (art. 153, § 1</w:t>
      </w:r>
      <w:r w:rsidRPr="004E41F2">
        <w:rPr>
          <w:rFonts w:ascii="Arial" w:hAnsi="Arial" w:cs="Arial"/>
          <w:strike/>
        </w:rPr>
        <w:t>º</w:t>
      </w:r>
      <w:r w:rsidRPr="004E41F2">
        <w:rPr>
          <w:rFonts w:ascii="Arial" w:hAnsi="Arial" w:cs="Arial"/>
        </w:rPr>
        <w:t>, da CF/88) deverá ser lei complementar ou lei ordinária? A exceção prevista no § 1</w:t>
      </w:r>
      <w:r w:rsidRPr="004E41F2">
        <w:rPr>
          <w:rFonts w:ascii="Arial" w:hAnsi="Arial" w:cs="Arial"/>
          <w:strike/>
        </w:rPr>
        <w:t>º</w:t>
      </w:r>
      <w:r w:rsidRPr="004E41F2">
        <w:rPr>
          <w:rFonts w:ascii="Arial" w:hAnsi="Arial" w:cs="Arial"/>
        </w:rPr>
        <w:t xml:space="preserve"> do art. 150 da CF/88 dirige-se também à esta “lei” ou restringe-se aos atos do Poder Executivo acobertados pelos seus “limites e condições”? (Vide anexo I).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3.</w:t>
      </w:r>
      <w:r w:rsidRPr="004E41F2">
        <w:rPr>
          <w:rFonts w:ascii="Arial" w:hAnsi="Arial" w:cs="Arial"/>
        </w:rPr>
        <w:tab/>
        <w:t>Pode a União, ao exercer sua competência tributária com relação ao imposto sobre exportações, atribuir alíquotas diferenciadas em razão do país de destino do bem? Justificar.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4.</w:t>
      </w:r>
      <w:r w:rsidRPr="004E41F2">
        <w:rPr>
          <w:rFonts w:ascii="Arial" w:hAnsi="Arial" w:cs="Arial"/>
        </w:rPr>
        <w:tab/>
        <w:t>A empresa “X” firmou contrato de fornecimento, formalizando a aquisição de bem do exterior, datado de 10/05/2010. Os produtos transpuseram a fronteira brasileira, por via marítima em 15/06/2010, chegaram ao porto de Santos em 18/06/2010, em 25/06/2010 a empresa registrou a operação junto ao SISCOMEX e os produtos foram desembaraçados em 02/07/2010. No momento da realização do contrato a alíquota do referido imposto era de 10%. No entanto, em 01/06/2010 o Governo Federal publicou decreto que aumentou a alíquota aplicável à importação do referido bem para 20%, em 16/06/2010 houve outro aumento de alíquota para 30%, em 22/06/2010 para 35% e em 01/07/2010 para 38%. Pergunta-se: qual é a alíquota aplicável à importação em análise? (Vide anexo II).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lastRenderedPageBreak/>
        <w:t>5.</w:t>
      </w:r>
      <w:r w:rsidRPr="004E41F2">
        <w:rPr>
          <w:rFonts w:ascii="Arial" w:hAnsi="Arial" w:cs="Arial"/>
        </w:rPr>
        <w:tab/>
        <w:t>Defina o conceito de “tratado internacional”, descrevendo como se dá seu ingresso no ordenamento jurídico, seu momento de vigência no direito interno e sua posição hierárquica no sistema jurídico. Cons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dere, em sua resposta, o §2</w:t>
      </w:r>
      <w:r w:rsidRPr="004E41F2">
        <w:rPr>
          <w:rFonts w:ascii="Arial" w:hAnsi="Arial" w:cs="Arial"/>
          <w:strike/>
        </w:rPr>
        <w:t>º</w:t>
      </w:r>
      <w:r w:rsidRPr="004E41F2">
        <w:rPr>
          <w:rFonts w:ascii="Arial" w:hAnsi="Arial" w:cs="Arial"/>
        </w:rPr>
        <w:t xml:space="preserve"> do artigo 5</w:t>
      </w:r>
      <w:r w:rsidRPr="004E41F2">
        <w:rPr>
          <w:rFonts w:ascii="Arial" w:hAnsi="Arial" w:cs="Arial"/>
          <w:strike/>
        </w:rPr>
        <w:t>º</w:t>
      </w:r>
      <w:r w:rsidRPr="004E41F2">
        <w:rPr>
          <w:rFonts w:ascii="Arial" w:hAnsi="Arial" w:cs="Arial"/>
        </w:rPr>
        <w:t xml:space="preserve"> da Constituição e o artigo 98 do Código Tributário Nacional, e o entendimento exposto pelo STF. (Vide anexo III).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6.</w:t>
      </w:r>
      <w:r w:rsidRPr="004E41F2">
        <w:rPr>
          <w:rFonts w:ascii="Arial" w:hAnsi="Arial" w:cs="Arial"/>
        </w:rPr>
        <w:tab/>
        <w:t>Pode a União visando regular a política tarifária, versar sobre a isenção de tributo de competência estadual? Os tratados podem revogar normas tributárias inseridas no ordenamento jurídico bras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leiro pelos Estados e Municípios? Como ficam o princípio federativo e o da autonomia dos Municípios consagrados na CF/88? (Vide anexos IV e V).</w:t>
      </w:r>
    </w:p>
    <w:p w:rsidR="00E75E0B" w:rsidRDefault="00E75E0B">
      <w:pPr>
        <w:pStyle w:val="1"/>
        <w:rPr>
          <w:rFonts w:ascii="Arial" w:hAnsi="Arial" w:cs="Arial"/>
          <w:w w:val="100"/>
        </w:rPr>
      </w:pPr>
    </w:p>
    <w:p w:rsidR="00B3293A" w:rsidRPr="004E41F2" w:rsidRDefault="00325476">
      <w:pPr>
        <w:pStyle w:val="texto"/>
        <w:ind w:firstLine="0"/>
        <w:rPr>
          <w:rFonts w:ascii="Arial" w:hAnsi="Arial" w:cs="Arial"/>
        </w:rPr>
      </w:pPr>
      <w:r w:rsidRPr="004E41F2">
        <w:rPr>
          <w:rFonts w:ascii="Arial" w:hAnsi="Arial" w:cs="Arial"/>
        </w:rPr>
        <w:br w:type="page"/>
      </w:r>
    </w:p>
    <w:p w:rsidR="00B3293A" w:rsidRPr="004E41F2" w:rsidRDefault="00B3293A">
      <w:pPr>
        <w:pStyle w:val="Semestilodepargrafo"/>
        <w:tabs>
          <w:tab w:val="right" w:leader="dot" w:pos="5954"/>
        </w:tabs>
        <w:spacing w:after="113"/>
        <w:jc w:val="center"/>
        <w:rPr>
          <w:rFonts w:ascii="Arial" w:hAnsi="Arial" w:cs="Arial"/>
          <w:sz w:val="48"/>
          <w:szCs w:val="48"/>
        </w:rPr>
      </w:pPr>
      <w:r w:rsidRPr="004E41F2">
        <w:rPr>
          <w:rFonts w:ascii="Arial" w:hAnsi="Arial" w:cs="Arial"/>
          <w:b/>
          <w:bCs/>
          <w:sz w:val="44"/>
          <w:szCs w:val="44"/>
        </w:rPr>
        <w:lastRenderedPageBreak/>
        <w:t xml:space="preserve">Seminário </w:t>
      </w:r>
      <w:r w:rsidRPr="004E41F2">
        <w:rPr>
          <w:rFonts w:ascii="Arial" w:hAnsi="Arial" w:cs="Arial"/>
          <w:b/>
          <w:bCs/>
          <w:sz w:val="48"/>
          <w:szCs w:val="48"/>
        </w:rPr>
        <w:t>VI</w:t>
      </w:r>
    </w:p>
    <w:p w:rsidR="00B3293A" w:rsidRPr="004E41F2" w:rsidRDefault="00B3293A">
      <w:pPr>
        <w:pStyle w:val="seminrio1"/>
        <w:rPr>
          <w:rFonts w:ascii="Arial" w:hAnsi="Arial" w:cs="Arial"/>
        </w:rPr>
      </w:pPr>
      <w:r w:rsidRPr="004E41F2">
        <w:rPr>
          <w:rFonts w:ascii="Arial" w:hAnsi="Arial" w:cs="Arial"/>
        </w:rPr>
        <w:t>IPTU, ITR E IPVA</w:t>
      </w:r>
    </w:p>
    <w:p w:rsidR="00B3293A" w:rsidRPr="004E41F2" w:rsidRDefault="00B3293A">
      <w:pPr>
        <w:pStyle w:val="1"/>
        <w:rPr>
          <w:rFonts w:ascii="Arial" w:hAnsi="Arial" w:cs="Arial"/>
          <w:w w:val="100"/>
        </w:rPr>
      </w:pPr>
      <w:r w:rsidRPr="004E41F2">
        <w:rPr>
          <w:rFonts w:ascii="Arial" w:hAnsi="Arial" w:cs="Arial"/>
          <w:w w:val="100"/>
        </w:rPr>
        <w:t>Questões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1.</w:t>
      </w:r>
      <w:r w:rsidRPr="004E41F2">
        <w:rPr>
          <w:rFonts w:ascii="Arial" w:hAnsi="Arial" w:cs="Arial"/>
        </w:rPr>
        <w:tab/>
        <w:t>Construa as regras-matrizes de incidência do IPTU, ITR e IPVA.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2.</w:t>
      </w:r>
      <w:r w:rsidRPr="004E41F2">
        <w:rPr>
          <w:rFonts w:ascii="Arial" w:hAnsi="Arial" w:cs="Arial"/>
        </w:rPr>
        <w:tab/>
        <w:t>Diferençar os conceitos de propriedade, domínio útil e posse do art. 1</w:t>
      </w:r>
      <w:r w:rsidRPr="004E41F2">
        <w:rPr>
          <w:rFonts w:ascii="Arial" w:hAnsi="Arial" w:cs="Arial"/>
          <w:strike/>
        </w:rPr>
        <w:t>º</w:t>
      </w:r>
      <w:r w:rsidRPr="004E41F2">
        <w:rPr>
          <w:rFonts w:ascii="Arial" w:hAnsi="Arial" w:cs="Arial"/>
        </w:rPr>
        <w:t xml:space="preserve"> da Lei n. 9.393/96, correlacionando-os com o de propriedade do art. 153, VI da CF. Há competência da União para instituir como critério material do ITR o domínio útil e a posse?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3.</w:t>
      </w:r>
      <w:r w:rsidRPr="004E41F2">
        <w:rPr>
          <w:rFonts w:ascii="Arial" w:hAnsi="Arial" w:cs="Arial"/>
        </w:rPr>
        <w:tab/>
        <w:t>A quem compete definir as zonas urbana e rural? Qual o veículo legislativo adequado para tanto? Os imóveis industriais, comerciais e prestadores de serviços situados fora dos núcleos urbanos munic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pais estão sujeitos à incidência do IPTU? (Vide anexo I). E os de exploração vegetal, agrícola, pecuária ou agroindustrial, quando s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tuados dentro dos núcleos urbanos municipais? (Vide anexos II, III e IV).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  <w:bCs/>
        </w:rPr>
        <w:t>4.</w:t>
      </w:r>
      <w:r w:rsidRPr="004E41F2">
        <w:rPr>
          <w:rFonts w:ascii="Arial" w:hAnsi="Arial" w:cs="Arial"/>
          <w:bCs/>
        </w:rPr>
        <w:tab/>
      </w:r>
      <w:r w:rsidRPr="004E41F2">
        <w:rPr>
          <w:rFonts w:ascii="Arial" w:hAnsi="Arial" w:cs="Arial"/>
        </w:rPr>
        <w:t>A modificação da planta genérica, que determina a base de cálculo do IPTU, deve ser veiculada por lei, ou pode ser por meio de decreto? Há necessidade de publicação no diário oficial? (Vide anexo V).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5.</w:t>
      </w:r>
      <w:r w:rsidRPr="004E41F2">
        <w:rPr>
          <w:rFonts w:ascii="Arial" w:hAnsi="Arial" w:cs="Arial"/>
        </w:rPr>
        <w:tab/>
        <w:t>Quanto ao ITR pergunta-se: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a) O art. 11 da Lei n. 9.393/96 fixou as alíquotas do ITR em perce</w:t>
      </w:r>
      <w:r w:rsidRPr="004E41F2">
        <w:rPr>
          <w:rFonts w:ascii="Arial" w:hAnsi="Arial" w:cs="Arial"/>
        </w:rPr>
        <w:t>n</w:t>
      </w:r>
      <w:r w:rsidRPr="004E41F2">
        <w:rPr>
          <w:rFonts w:ascii="Arial" w:hAnsi="Arial" w:cs="Arial"/>
        </w:rPr>
        <w:t>tuais que variam de 0,03% a 20%, conforme a área total do imóvel e o grau de utilização. No seu entender, referida progressividade atende ao disposto no art. 153, § 4</w:t>
      </w:r>
      <w:r w:rsidRPr="004E41F2">
        <w:rPr>
          <w:rFonts w:ascii="Arial" w:hAnsi="Arial" w:cs="Arial"/>
          <w:strike/>
        </w:rPr>
        <w:t>º</w:t>
      </w:r>
      <w:r w:rsidRPr="004E41F2">
        <w:rPr>
          <w:rFonts w:ascii="Arial" w:hAnsi="Arial" w:cs="Arial"/>
        </w:rPr>
        <w:t>, da Constituição Federal? Justificar.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 xml:space="preserve">b) A que tipo de lançamento está sujeito o ITR? A exclusão de área de preservação permanente da base de cálculo do ITR pressupõe o protocolo de Ato Declaratório Ambiental (ADA) do IBAMA? (Vide </w:t>
      </w:r>
      <w:r w:rsidRPr="004E41F2">
        <w:rPr>
          <w:rFonts w:ascii="Arial" w:hAnsi="Arial" w:cs="Arial"/>
        </w:rPr>
        <w:lastRenderedPageBreak/>
        <w:t>anexos VI e VII).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6.</w:t>
      </w:r>
      <w:r w:rsidRPr="004E41F2">
        <w:rPr>
          <w:rFonts w:ascii="Arial" w:hAnsi="Arial" w:cs="Arial"/>
        </w:rPr>
        <w:tab/>
        <w:t>Com relação ao IPVA pergunta-se: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a) Que é “veículo automotor”? Embarcações e aeronaves enqu</w:t>
      </w:r>
      <w:r w:rsidRPr="004E41F2">
        <w:rPr>
          <w:rFonts w:ascii="Arial" w:hAnsi="Arial" w:cs="Arial"/>
        </w:rPr>
        <w:t>a</w:t>
      </w:r>
      <w:r w:rsidRPr="004E41F2">
        <w:rPr>
          <w:rFonts w:ascii="Arial" w:hAnsi="Arial" w:cs="Arial"/>
        </w:rPr>
        <w:t>dram-se no conceito de “veículo automotor”, sujeitando-se à inc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dência do IPVA?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b) Qual é o sujeito passivo do imposto no caso de alienação fiduci</w:t>
      </w:r>
      <w:r w:rsidRPr="004E41F2">
        <w:rPr>
          <w:rFonts w:ascii="Arial" w:hAnsi="Arial" w:cs="Arial"/>
        </w:rPr>
        <w:t>á</w:t>
      </w:r>
      <w:r w:rsidRPr="004E41F2">
        <w:rPr>
          <w:rFonts w:ascii="Arial" w:hAnsi="Arial" w:cs="Arial"/>
        </w:rPr>
        <w:t>ria?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c) Qual é o sujeito ativo tributário no caso de veículo adquirido em um Estado e utilizado em outro? Pode o Estado de uso do veículo cobrar o tributo (ex: caso das locadoras de automóveis)? (Vide anexo VIII).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d) Sendo o veículo automotor adquirido no decorrer do ano civil, dá-se a incidência do IPVA sobre a sua propriedade? É adequado, nesse caso, falar-se em base de cálculo parcial do IPVA? Exempl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ficando: sobre o veículo novo adquirido em 01 novembro de 2012 pode ser cobrado IPVA proporcional aos meses de novembro e d</w:t>
      </w:r>
      <w:r w:rsidRPr="004E41F2">
        <w:rPr>
          <w:rFonts w:ascii="Arial" w:hAnsi="Arial" w:cs="Arial"/>
        </w:rPr>
        <w:t>e</w:t>
      </w:r>
      <w:r w:rsidRPr="004E41F2">
        <w:rPr>
          <w:rFonts w:ascii="Arial" w:hAnsi="Arial" w:cs="Arial"/>
        </w:rPr>
        <w:t>zembro? Se o veículo for furtado no decorrer do ano, tem o contr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buinte direito à devolução parcial do imposto pago?</w:t>
      </w:r>
    </w:p>
    <w:p w:rsidR="00B3293A" w:rsidRPr="004E41F2" w:rsidRDefault="00F6680B">
      <w:pPr>
        <w:pStyle w:val="texto"/>
        <w:ind w:firstLine="0"/>
        <w:rPr>
          <w:rFonts w:ascii="Arial" w:hAnsi="Arial" w:cs="Arial"/>
        </w:rPr>
      </w:pPr>
      <w:r w:rsidRPr="004E41F2">
        <w:rPr>
          <w:rFonts w:ascii="Arial" w:hAnsi="Arial" w:cs="Arial"/>
        </w:rPr>
        <w:br w:type="page"/>
      </w:r>
    </w:p>
    <w:p w:rsidR="00B3293A" w:rsidRPr="004E41F2" w:rsidRDefault="00B3293A">
      <w:pPr>
        <w:pStyle w:val="Semestilodepargrafo"/>
        <w:tabs>
          <w:tab w:val="right" w:leader="dot" w:pos="5954"/>
        </w:tabs>
        <w:spacing w:after="227"/>
        <w:jc w:val="center"/>
        <w:rPr>
          <w:rFonts w:ascii="Arial" w:hAnsi="Arial" w:cs="Arial"/>
          <w:sz w:val="48"/>
          <w:szCs w:val="48"/>
        </w:rPr>
      </w:pPr>
      <w:r w:rsidRPr="004E41F2">
        <w:rPr>
          <w:rFonts w:ascii="Arial" w:hAnsi="Arial" w:cs="Arial"/>
          <w:b/>
          <w:bCs/>
          <w:sz w:val="44"/>
          <w:szCs w:val="44"/>
        </w:rPr>
        <w:lastRenderedPageBreak/>
        <w:t xml:space="preserve">Seminário </w:t>
      </w:r>
      <w:r w:rsidRPr="004E41F2">
        <w:rPr>
          <w:rFonts w:ascii="Arial" w:hAnsi="Arial" w:cs="Arial"/>
          <w:b/>
          <w:bCs/>
          <w:sz w:val="48"/>
          <w:szCs w:val="48"/>
        </w:rPr>
        <w:t>VII</w:t>
      </w:r>
    </w:p>
    <w:p w:rsidR="00B3293A" w:rsidRPr="004E41F2" w:rsidRDefault="00B3293A">
      <w:pPr>
        <w:pStyle w:val="seminrio1"/>
        <w:rPr>
          <w:rFonts w:ascii="Arial" w:hAnsi="Arial" w:cs="Arial"/>
        </w:rPr>
      </w:pPr>
      <w:r w:rsidRPr="004E41F2">
        <w:rPr>
          <w:rFonts w:ascii="Arial" w:hAnsi="Arial" w:cs="Arial"/>
        </w:rPr>
        <w:t>CONTRIBUIÇÕES</w:t>
      </w:r>
    </w:p>
    <w:p w:rsidR="00B3293A" w:rsidRPr="004E41F2" w:rsidRDefault="00B3293A">
      <w:pPr>
        <w:pStyle w:val="1"/>
        <w:rPr>
          <w:rFonts w:ascii="Arial" w:hAnsi="Arial" w:cs="Arial"/>
          <w:w w:val="100"/>
        </w:rPr>
      </w:pPr>
      <w:r w:rsidRPr="004E41F2">
        <w:rPr>
          <w:rFonts w:ascii="Arial" w:hAnsi="Arial" w:cs="Arial"/>
          <w:w w:val="100"/>
        </w:rPr>
        <w:t>Questões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1.</w:t>
      </w:r>
      <w:r w:rsidRPr="004E41F2">
        <w:rPr>
          <w:rFonts w:ascii="Arial" w:hAnsi="Arial" w:cs="Arial"/>
        </w:rPr>
        <w:tab/>
        <w:t>Definir o conceito de “contribuição”. Quais as espécies de contr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buição existentes na CF/88? Que critério jurídico informa esta cla</w:t>
      </w:r>
      <w:r w:rsidRPr="004E41F2">
        <w:rPr>
          <w:rFonts w:ascii="Arial" w:hAnsi="Arial" w:cs="Arial"/>
        </w:rPr>
        <w:t>s</w:t>
      </w:r>
      <w:r w:rsidRPr="004E41F2">
        <w:rPr>
          <w:rFonts w:ascii="Arial" w:hAnsi="Arial" w:cs="Arial"/>
        </w:rPr>
        <w:t>sificação normativa?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2.</w:t>
      </w:r>
      <w:r w:rsidRPr="004E41F2">
        <w:rPr>
          <w:rFonts w:ascii="Arial" w:hAnsi="Arial" w:cs="Arial"/>
        </w:rPr>
        <w:tab/>
        <w:t>Sobre a hipótese de incidência das contribuições, pergunta-se: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a) A União pode, na criação de contribuição com fundamento no art. 149 da CF, utilizar uma das materialidades que lhe foram atribuídas constitucionalmente para a instituição de impostos?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b) A hipótese de incidência destas contribuições pode abranger fatos que, por ocasião da repartição constitucional de competências para a instituição de impostos, foram atribuídos como materialidades pr</w:t>
      </w:r>
      <w:r w:rsidRPr="004E41F2">
        <w:rPr>
          <w:rFonts w:ascii="Arial" w:hAnsi="Arial" w:cs="Arial"/>
        </w:rPr>
        <w:t>ó</w:t>
      </w:r>
      <w:r w:rsidRPr="004E41F2">
        <w:rPr>
          <w:rFonts w:ascii="Arial" w:hAnsi="Arial" w:cs="Arial"/>
        </w:rPr>
        <w:t>prias dos Estados, Distrito Federal e Municípios?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3.</w:t>
      </w:r>
      <w:r w:rsidRPr="004E41F2">
        <w:rPr>
          <w:rFonts w:ascii="Arial" w:hAnsi="Arial" w:cs="Arial"/>
        </w:rPr>
        <w:tab/>
        <w:t>A destinação do produto da arrecadação tributária é relevante para a classificação jurídica dos tributos e consequente definição das co</w:t>
      </w:r>
      <w:r w:rsidRPr="004E41F2">
        <w:rPr>
          <w:rFonts w:ascii="Arial" w:hAnsi="Arial" w:cs="Arial"/>
        </w:rPr>
        <w:t>n</w:t>
      </w:r>
      <w:r w:rsidRPr="004E41F2">
        <w:rPr>
          <w:rFonts w:ascii="Arial" w:hAnsi="Arial" w:cs="Arial"/>
        </w:rPr>
        <w:t>tribuições? E a efetiva destinação da receita arrecadada a título de contribuição é relevante para se caracterizar a legitimidade da c</w:t>
      </w:r>
      <w:r w:rsidRPr="004E41F2">
        <w:rPr>
          <w:rFonts w:ascii="Arial" w:hAnsi="Arial" w:cs="Arial"/>
        </w:rPr>
        <w:t>o</w:t>
      </w:r>
      <w:r w:rsidRPr="004E41F2">
        <w:rPr>
          <w:rFonts w:ascii="Arial" w:hAnsi="Arial" w:cs="Arial"/>
        </w:rPr>
        <w:t>brança? Se os valores arrecadados a título de contribuição não forem aplicados na destinação prescrita na lei, pode o contribuinte requerer restituição do tributo pago? Sob qual fundamento? Justificar.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4.</w:t>
      </w:r>
      <w:r w:rsidRPr="004E41F2">
        <w:rPr>
          <w:rFonts w:ascii="Arial" w:hAnsi="Arial" w:cs="Arial"/>
        </w:rPr>
        <w:tab/>
        <w:t>Por força do que prescreve o art. 195, I, “a”, da Constituição da R</w:t>
      </w:r>
      <w:r w:rsidRPr="004E41F2">
        <w:rPr>
          <w:rFonts w:ascii="Arial" w:hAnsi="Arial" w:cs="Arial"/>
        </w:rPr>
        <w:t>e</w:t>
      </w:r>
      <w:r w:rsidRPr="004E41F2">
        <w:rPr>
          <w:rFonts w:ascii="Arial" w:hAnsi="Arial" w:cs="Arial"/>
        </w:rPr>
        <w:t xml:space="preserve">pública, a legislação exige que o empregador recolha contribuição sobre a folha de salários e demais rendimentos do trabalho pagos ou creditados, a qualquer título, à pessoa física que lhe preste serviço. </w:t>
      </w:r>
      <w:r w:rsidRPr="004E41F2">
        <w:rPr>
          <w:rFonts w:ascii="Arial" w:hAnsi="Arial" w:cs="Arial"/>
        </w:rPr>
        <w:lastRenderedPageBreak/>
        <w:t>Neste contexto, pergunta-se: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a) O que é “salário”? E “rendimentos do trabalho”?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b) Levando em consideração a resposta, quais das parcelas abaixo estão ou não sujeitas à incidência deste tributo, justifique: (i) os se</w:t>
      </w:r>
      <w:r w:rsidRPr="004E41F2">
        <w:rPr>
          <w:rFonts w:ascii="Arial" w:hAnsi="Arial" w:cs="Arial"/>
        </w:rPr>
        <w:t>r</w:t>
      </w:r>
      <w:r w:rsidRPr="004E41F2">
        <w:rPr>
          <w:rFonts w:ascii="Arial" w:hAnsi="Arial" w:cs="Arial"/>
        </w:rPr>
        <w:t>viços extraordinários (horas extras); (ii) terço constitucional; (iii) férias indenizadas; (iv) aviso prévio indenizado; (v) adicional de insalubr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dade; (vi) adicional de periculosidade; (vii) adicional noturno; (viii) auxílio-educação; (ix) auxílio-creche; (x) auxílio-doença; (xi) salário maternidade; (xii) prêmio assiduidade; (xiii) vale transporte e (xiv) descanso remunerado. (Vide anexo I).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5.</w:t>
      </w:r>
      <w:r w:rsidRPr="004E41F2">
        <w:rPr>
          <w:rFonts w:ascii="Arial" w:hAnsi="Arial" w:cs="Arial"/>
        </w:rPr>
        <w:tab/>
        <w:t>Sobre as contribuições ao PIS-COFINS no regime não-cumulativo: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a) Examinar o conceito de receita delimitado pela Lei n. 12.973/14. As alterações veiculadas acarretam consequências para fins da i</w:t>
      </w:r>
      <w:r w:rsidRPr="004E41F2">
        <w:rPr>
          <w:rFonts w:ascii="Arial" w:hAnsi="Arial" w:cs="Arial"/>
        </w:rPr>
        <w:t>n</w:t>
      </w:r>
      <w:r w:rsidRPr="004E41F2">
        <w:rPr>
          <w:rFonts w:ascii="Arial" w:hAnsi="Arial" w:cs="Arial"/>
        </w:rPr>
        <w:t>cidência do PIS e da COFINS? Em caso afirmativo, quais?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b) O que caracteriza “insumo” para fins da não-cumulatividade do PIS e da COFINS? (Vide anexos II a VI).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6.</w:t>
      </w:r>
      <w:r w:rsidRPr="004E41F2">
        <w:rPr>
          <w:rFonts w:ascii="Arial" w:hAnsi="Arial" w:cs="Arial"/>
        </w:rPr>
        <w:tab/>
        <w:t>A Lei Federal n. 10.865/2004 instituiu a Contribuição para os Pr</w:t>
      </w:r>
      <w:r w:rsidRPr="004E41F2">
        <w:rPr>
          <w:rFonts w:ascii="Arial" w:hAnsi="Arial" w:cs="Arial"/>
        </w:rPr>
        <w:t>o</w:t>
      </w:r>
      <w:r w:rsidRPr="004E41F2">
        <w:rPr>
          <w:rFonts w:ascii="Arial" w:hAnsi="Arial" w:cs="Arial"/>
        </w:rPr>
        <w:t>gramas de Integração Social e de Formação do Patrimônio do Se</w:t>
      </w:r>
      <w:r w:rsidRPr="004E41F2">
        <w:rPr>
          <w:rFonts w:ascii="Arial" w:hAnsi="Arial" w:cs="Arial"/>
        </w:rPr>
        <w:t>r</w:t>
      </w:r>
      <w:r w:rsidRPr="004E41F2">
        <w:rPr>
          <w:rFonts w:ascii="Arial" w:hAnsi="Arial" w:cs="Arial"/>
        </w:rPr>
        <w:t>vidor Público incidente na importação de produtos estrangeiros ou serviços (PIS/PASEP-Importação) e a Contribuição Social para o Financiamento da Seguridade Social devida pelo importador de bens estrangeiros ou serviços do exterior (COFINS-Importação). Anal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sando criticamente o artigo 7</w:t>
      </w:r>
      <w:r w:rsidRPr="004E41F2">
        <w:rPr>
          <w:rFonts w:ascii="Arial" w:hAnsi="Arial" w:cs="Arial"/>
          <w:strike/>
        </w:rPr>
        <w:t>º</w:t>
      </w:r>
      <w:r w:rsidRPr="004E41F2">
        <w:rPr>
          <w:rFonts w:ascii="Arial" w:hAnsi="Arial" w:cs="Arial"/>
        </w:rPr>
        <w:t xml:space="preserve"> da referida lei, e os enunciados con</w:t>
      </w:r>
      <w:r w:rsidRPr="004E41F2">
        <w:rPr>
          <w:rFonts w:ascii="Arial" w:hAnsi="Arial" w:cs="Arial"/>
        </w:rPr>
        <w:t>s</w:t>
      </w:r>
      <w:r w:rsidRPr="004E41F2">
        <w:rPr>
          <w:rFonts w:ascii="Arial" w:hAnsi="Arial" w:cs="Arial"/>
        </w:rPr>
        <w:t>titucionais que atribuem competência para a União instituir contr</w:t>
      </w:r>
      <w:r w:rsidRPr="004E41F2">
        <w:rPr>
          <w:rFonts w:ascii="Arial" w:hAnsi="Arial" w:cs="Arial"/>
        </w:rPr>
        <w:t>i</w:t>
      </w:r>
      <w:r w:rsidRPr="004E41F2">
        <w:rPr>
          <w:rFonts w:ascii="Arial" w:hAnsi="Arial" w:cs="Arial"/>
        </w:rPr>
        <w:t>buições, bem como o conceito de valor aduaneiro do Decreto n. 6.743/2009, pergunta-se: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a) É possível identificar um conceito constitucional de valor adu</w:t>
      </w:r>
      <w:r w:rsidRPr="004E41F2">
        <w:rPr>
          <w:rFonts w:ascii="Arial" w:hAnsi="Arial" w:cs="Arial"/>
        </w:rPr>
        <w:t>a</w:t>
      </w:r>
      <w:r w:rsidRPr="004E41F2">
        <w:rPr>
          <w:rFonts w:ascii="Arial" w:hAnsi="Arial" w:cs="Arial"/>
        </w:rPr>
        <w:t>neiro? (Vide anexo VII).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b) O que compreende o valor aduaneiro para fins de quantificação do PIS-Importação e da COFINS-Importação?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lastRenderedPageBreak/>
        <w:tab/>
        <w:t>c) É possível sustentar a inconstitucionalidade da base de cálculo do PIS-Importação e da COFINS-Importação constante da Lei Federal n. 10.865/2004, ou a sua ilegalidade, tendo em vista o que dispõe o art. 110 do CTN? (Vide anexos VIII e IX).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>7.</w:t>
      </w:r>
      <w:r w:rsidRPr="004E41F2">
        <w:rPr>
          <w:rFonts w:ascii="Arial" w:hAnsi="Arial" w:cs="Arial"/>
        </w:rPr>
        <w:tab/>
        <w:t>Sobre as contribuições de intervenção no domínio econômico, pe</w:t>
      </w:r>
      <w:r w:rsidRPr="004E41F2">
        <w:rPr>
          <w:rFonts w:ascii="Arial" w:hAnsi="Arial" w:cs="Arial"/>
        </w:rPr>
        <w:t>r</w:t>
      </w:r>
      <w:r w:rsidRPr="004E41F2">
        <w:rPr>
          <w:rFonts w:ascii="Arial" w:hAnsi="Arial" w:cs="Arial"/>
        </w:rPr>
        <w:t>gunta-se: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a) Que se entende por intervenção no domínio econômico? As causas de intervenção estão restritas aos artigos 170 a 181 da Constituição Federal?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b) O produto da arrecadação da CIDE deve ser legalmente destinado à intervenção no setor econômico de que trata a contribuição (i</w:t>
      </w:r>
      <w:r w:rsidRPr="004E41F2">
        <w:rPr>
          <w:rFonts w:ascii="Arial" w:hAnsi="Arial" w:cs="Arial"/>
        </w:rPr>
        <w:t>n</w:t>
      </w:r>
      <w:r w:rsidRPr="004E41F2">
        <w:rPr>
          <w:rFonts w:ascii="Arial" w:hAnsi="Arial" w:cs="Arial"/>
        </w:rPr>
        <w:t>tervenção positiva), ou pode ser instituída com finalidade de dese</w:t>
      </w:r>
      <w:r w:rsidRPr="004E41F2">
        <w:rPr>
          <w:rFonts w:ascii="Arial" w:hAnsi="Arial" w:cs="Arial"/>
        </w:rPr>
        <w:t>s</w:t>
      </w:r>
      <w:r w:rsidRPr="004E41F2">
        <w:rPr>
          <w:rFonts w:ascii="Arial" w:hAnsi="Arial" w:cs="Arial"/>
        </w:rPr>
        <w:t>timular determinada atividade, ou seja, com caráter extrafiscal (i</w:t>
      </w:r>
      <w:r w:rsidRPr="004E41F2">
        <w:rPr>
          <w:rFonts w:ascii="Arial" w:hAnsi="Arial" w:cs="Arial"/>
        </w:rPr>
        <w:t>n</w:t>
      </w:r>
      <w:r w:rsidRPr="004E41F2">
        <w:rPr>
          <w:rFonts w:ascii="Arial" w:hAnsi="Arial" w:cs="Arial"/>
        </w:rPr>
        <w:t>tervenção negativa)?</w:t>
      </w:r>
    </w:p>
    <w:p w:rsidR="00B3293A" w:rsidRPr="004E41F2" w:rsidRDefault="00B3293A">
      <w:pPr>
        <w:pStyle w:val="10"/>
        <w:rPr>
          <w:rFonts w:ascii="Arial" w:hAnsi="Arial" w:cs="Arial"/>
        </w:rPr>
      </w:pPr>
      <w:r w:rsidRPr="004E41F2">
        <w:rPr>
          <w:rFonts w:ascii="Arial" w:hAnsi="Arial" w:cs="Arial"/>
        </w:rPr>
        <w:tab/>
        <w:t>c) A sua materialidade e o sujeito passivo devem estar relacionados com a destinação escolhida pelo legislador como forma de inte</w:t>
      </w:r>
      <w:r w:rsidRPr="004E41F2">
        <w:rPr>
          <w:rFonts w:ascii="Arial" w:hAnsi="Arial" w:cs="Arial"/>
        </w:rPr>
        <w:t>r</w:t>
      </w:r>
      <w:r w:rsidRPr="004E41F2">
        <w:rPr>
          <w:rFonts w:ascii="Arial" w:hAnsi="Arial" w:cs="Arial"/>
        </w:rPr>
        <w:t>venção no domínio econômico? (Vide anexo X).</w:t>
      </w:r>
    </w:p>
    <w:sectPr w:rsidR="00B3293A" w:rsidRPr="004E41F2" w:rsidSect="00E51A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8392" w:h="11907" w:code="11"/>
      <w:pgMar w:top="1247" w:right="567" w:bottom="851" w:left="851" w:header="454" w:footer="56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CE9" w:rsidRDefault="00AF0CE9">
      <w:pPr>
        <w:spacing w:after="0" w:line="240" w:lineRule="auto"/>
      </w:pPr>
      <w:r>
        <w:separator/>
      </w:r>
    </w:p>
  </w:endnote>
  <w:endnote w:type="continuationSeparator" w:id="0">
    <w:p w:rsidR="00AF0CE9" w:rsidRDefault="00AF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731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50" w:rsidRPr="009C7A8D" w:rsidRDefault="009C2950" w:rsidP="009C7A8D">
    <w:pPr>
      <w:pStyle w:val="Rodap"/>
      <w:ind w:right="360"/>
      <w:jc w:val="center"/>
      <w:rPr>
        <w:sz w:val="12"/>
      </w:rPr>
    </w:pPr>
    <w:r>
      <w:rPr>
        <w:sz w:val="12"/>
      </w:rPr>
      <w:t xml:space="preserve">O conteúdo desse material é de propriedade intelectual do </w:t>
    </w:r>
    <w:r>
      <w:rPr>
        <w:b/>
        <w:sz w:val="12"/>
      </w:rPr>
      <w:t>©IBET: é proibida sua utilização, manipulação ou reprodução, por pessoas estranhas e desvinculadas de suas atividades institucionais</w:t>
    </w:r>
    <w:r>
      <w:rPr>
        <w:sz w:val="12"/>
      </w:rPr>
      <w:t xml:space="preserve"> sem a devida, expressa e prévia autorização.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50" w:rsidRDefault="009C2950" w:rsidP="009C7A8D">
    <w:pPr>
      <w:pStyle w:val="Rodap"/>
      <w:ind w:right="360"/>
      <w:jc w:val="center"/>
      <w:rPr>
        <w:sz w:val="12"/>
      </w:rPr>
    </w:pPr>
    <w:r>
      <w:rPr>
        <w:sz w:val="12"/>
      </w:rPr>
      <w:t xml:space="preserve">O conteúdo desse material é de propriedade intelectual do </w:t>
    </w:r>
    <w:r>
      <w:rPr>
        <w:b/>
        <w:sz w:val="12"/>
      </w:rPr>
      <w:t>©IBET: é proibida sua utilização, manipulação ou reprodução, por pessoas estranhas e desvinculadas de suas atividades institucionais</w:t>
    </w:r>
    <w:r>
      <w:rPr>
        <w:sz w:val="12"/>
      </w:rPr>
      <w:t xml:space="preserve"> sem a devida, expressa e prévia autorização.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CE9" w:rsidRDefault="00AF0CE9">
      <w:pPr>
        <w:spacing w:after="0" w:line="240" w:lineRule="auto"/>
      </w:pPr>
      <w:r>
        <w:separator/>
      </w:r>
    </w:p>
  </w:footnote>
  <w:footnote w:type="continuationSeparator" w:id="0">
    <w:p w:rsidR="00AF0CE9" w:rsidRDefault="00AF0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50" w:rsidRPr="0011489F" w:rsidRDefault="009C2950" w:rsidP="004E41F2">
    <w:pPr>
      <w:pStyle w:val="Cabealho"/>
      <w:spacing w:after="0" w:line="240" w:lineRule="auto"/>
      <w:jc w:val="right"/>
      <w:rPr>
        <w:rFonts w:ascii="Times New Roman" w:hAnsi="Times New Roman"/>
      </w:rPr>
    </w:pPr>
    <w:r w:rsidRPr="0011489F">
      <w:rPr>
        <w:rFonts w:ascii="Times New Roman" w:hAnsi="Times New Roman"/>
      </w:rPr>
      <w:fldChar w:fldCharType="begin"/>
    </w:r>
    <w:r w:rsidRPr="0011489F">
      <w:rPr>
        <w:rFonts w:ascii="Times New Roman" w:hAnsi="Times New Roman"/>
      </w:rPr>
      <w:instrText>PAGE   \* MERGEFORMAT</w:instrText>
    </w:r>
    <w:r w:rsidRPr="0011489F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 w:rsidRPr="0011489F">
      <w:rPr>
        <w:rFonts w:ascii="Times New Roman" w:hAnsi="Times New Roman"/>
      </w:rPr>
      <w:fldChar w:fldCharType="end"/>
    </w:r>
  </w:p>
  <w:p w:rsidR="009C2950" w:rsidRPr="0011489F" w:rsidRDefault="009C2950" w:rsidP="004E41F2">
    <w:pPr>
      <w:pStyle w:val="Cabealho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11489F">
      <w:rPr>
        <w:rFonts w:ascii="Times New Roman" w:hAnsi="Times New Roman"/>
        <w:b/>
        <w:sz w:val="20"/>
        <w:szCs w:val="20"/>
      </w:rPr>
      <w:t>IBET</w:t>
    </w:r>
  </w:p>
  <w:p w:rsidR="009C2950" w:rsidRPr="009C7A8D" w:rsidRDefault="009C2950" w:rsidP="009C7A8D">
    <w:pPr>
      <w:pStyle w:val="Cabealho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11489F">
      <w:rPr>
        <w:rFonts w:ascii="Times New Roman" w:hAnsi="Times New Roman"/>
        <w:sz w:val="20"/>
        <w:szCs w:val="20"/>
      </w:rPr>
      <w:t>Instituto Brasileiro de Estudos Tributários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431128"/>
      <w:docPartObj>
        <w:docPartGallery w:val="Page Numbers (Top of Page)"/>
        <w:docPartUnique/>
      </w:docPartObj>
    </w:sdtPr>
    <w:sdtEndPr/>
    <w:sdtContent>
      <w:p w:rsidR="009C2950" w:rsidRDefault="009C295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184">
          <w:rPr>
            <w:noProof/>
          </w:rPr>
          <w:t>2</w:t>
        </w:r>
        <w:r>
          <w:fldChar w:fldCharType="end"/>
        </w:r>
      </w:p>
      <w:p w:rsidR="009C2950" w:rsidRPr="0011489F" w:rsidRDefault="009C2950" w:rsidP="009C2950">
        <w:pPr>
          <w:pStyle w:val="Cabealho"/>
          <w:spacing w:after="0" w:line="240" w:lineRule="auto"/>
          <w:jc w:val="center"/>
          <w:rPr>
            <w:rFonts w:ascii="Times New Roman" w:hAnsi="Times New Roman"/>
            <w:b/>
            <w:sz w:val="20"/>
            <w:szCs w:val="20"/>
          </w:rPr>
        </w:pPr>
        <w:r w:rsidRPr="0011489F">
          <w:rPr>
            <w:rFonts w:ascii="Times New Roman" w:hAnsi="Times New Roman"/>
            <w:b/>
            <w:sz w:val="20"/>
            <w:szCs w:val="20"/>
          </w:rPr>
          <w:t>IBET</w:t>
        </w:r>
      </w:p>
      <w:p w:rsidR="009C2950" w:rsidRPr="009C2950" w:rsidRDefault="009C2950" w:rsidP="009C2950">
        <w:pPr>
          <w:pStyle w:val="Cabealho"/>
          <w:spacing w:after="0" w:line="240" w:lineRule="auto"/>
          <w:jc w:val="center"/>
          <w:rPr>
            <w:rFonts w:ascii="Times New Roman" w:hAnsi="Times New Roman"/>
            <w:sz w:val="20"/>
            <w:szCs w:val="20"/>
          </w:rPr>
        </w:pPr>
        <w:r w:rsidRPr="0011489F">
          <w:rPr>
            <w:rFonts w:ascii="Times New Roman" w:hAnsi="Times New Roman"/>
            <w:sz w:val="20"/>
            <w:szCs w:val="20"/>
          </w:rPr>
          <w:t>Instituto Brasileiro de Estudos Tributários</w:t>
        </w:r>
      </w:p>
    </w:sdtContent>
  </w:sdt>
  <w:p w:rsidR="009C2950" w:rsidRPr="0066309F" w:rsidRDefault="009C2950" w:rsidP="009C2950">
    <w:pPr>
      <w:pStyle w:val="Cabealho"/>
      <w:spacing w:after="0" w:line="240" w:lineRule="auto"/>
      <w:jc w:val="center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50" w:rsidRDefault="009C2950">
    <w:pPr>
      <w:pStyle w:val="Cabealho"/>
    </w:pPr>
    <w:r>
      <w:rPr>
        <w:noProof/>
      </w:rPr>
      <w:drawing>
        <wp:inline distT="0" distB="0" distL="0" distR="0" wp14:anchorId="1A06B824" wp14:editId="0ED30AC8">
          <wp:extent cx="1828800" cy="11128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BET - al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974" cy="1117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CA9"/>
    <w:multiLevelType w:val="hybridMultilevel"/>
    <w:tmpl w:val="E7DA2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66ABF"/>
    <w:multiLevelType w:val="hybridMultilevel"/>
    <w:tmpl w:val="D0CA9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62755"/>
    <w:multiLevelType w:val="hybridMultilevel"/>
    <w:tmpl w:val="403A5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A3405"/>
    <w:multiLevelType w:val="hybridMultilevel"/>
    <w:tmpl w:val="A8683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F4334"/>
    <w:multiLevelType w:val="hybridMultilevel"/>
    <w:tmpl w:val="3CD62C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D0C22"/>
    <w:multiLevelType w:val="hybridMultilevel"/>
    <w:tmpl w:val="6DC80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D26FC"/>
    <w:multiLevelType w:val="hybridMultilevel"/>
    <w:tmpl w:val="7AA8E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C15E7"/>
    <w:multiLevelType w:val="hybridMultilevel"/>
    <w:tmpl w:val="EE4C6F48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31F42924"/>
    <w:multiLevelType w:val="hybridMultilevel"/>
    <w:tmpl w:val="F0AA2A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841D66"/>
    <w:multiLevelType w:val="hybridMultilevel"/>
    <w:tmpl w:val="FCACD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A638A"/>
    <w:multiLevelType w:val="hybridMultilevel"/>
    <w:tmpl w:val="D51ACD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52C63"/>
    <w:multiLevelType w:val="hybridMultilevel"/>
    <w:tmpl w:val="0F6623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317CDE"/>
    <w:multiLevelType w:val="hybridMultilevel"/>
    <w:tmpl w:val="6DA6E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05D33"/>
    <w:multiLevelType w:val="hybridMultilevel"/>
    <w:tmpl w:val="50206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814E6"/>
    <w:multiLevelType w:val="hybridMultilevel"/>
    <w:tmpl w:val="D51E8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ED7254"/>
    <w:multiLevelType w:val="hybridMultilevel"/>
    <w:tmpl w:val="A8B6B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"/>
  </w:num>
  <w:num w:numId="5">
    <w:abstractNumId w:val="13"/>
  </w:num>
  <w:num w:numId="6">
    <w:abstractNumId w:val="9"/>
  </w:num>
  <w:num w:numId="7">
    <w:abstractNumId w:val="14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10"/>
  </w:num>
  <w:num w:numId="14">
    <w:abstractNumId w:val="7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52"/>
    <w:rsid w:val="00013C98"/>
    <w:rsid w:val="0004719D"/>
    <w:rsid w:val="00054184"/>
    <w:rsid w:val="00325476"/>
    <w:rsid w:val="003F26E3"/>
    <w:rsid w:val="004977D9"/>
    <w:rsid w:val="004E41F2"/>
    <w:rsid w:val="00601D69"/>
    <w:rsid w:val="006B62AF"/>
    <w:rsid w:val="007F5CEE"/>
    <w:rsid w:val="00856B08"/>
    <w:rsid w:val="00940D52"/>
    <w:rsid w:val="009951F9"/>
    <w:rsid w:val="009C2950"/>
    <w:rsid w:val="009C7A8D"/>
    <w:rsid w:val="00AF0CE9"/>
    <w:rsid w:val="00B07959"/>
    <w:rsid w:val="00B3293A"/>
    <w:rsid w:val="00BD57E7"/>
    <w:rsid w:val="00C17F4F"/>
    <w:rsid w:val="00CB5ABA"/>
    <w:rsid w:val="00E51A40"/>
    <w:rsid w:val="00E75E0B"/>
    <w:rsid w:val="00F6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foot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tilodepargrafo">
    <w:name w:val="[Sem estilo de parágrafo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1">
    <w:name w:val="1"/>
    <w:basedOn w:val="Semestilodepargrafo"/>
    <w:uiPriority w:val="99"/>
    <w:pPr>
      <w:tabs>
        <w:tab w:val="left" w:pos="340"/>
      </w:tabs>
      <w:suppressAutoHyphens/>
      <w:spacing w:before="340" w:after="170" w:line="280" w:lineRule="atLeast"/>
      <w:ind w:left="340" w:hanging="340"/>
    </w:pPr>
    <w:rPr>
      <w:rFonts w:ascii="Century731 BT" w:hAnsi="Century731 BT" w:cs="Century731 BT"/>
      <w:b/>
      <w:bCs/>
      <w:w w:val="90"/>
    </w:rPr>
  </w:style>
  <w:style w:type="paragraph" w:customStyle="1" w:styleId="BOLINHA">
    <w:name w:val="BOLINHA"/>
    <w:basedOn w:val="Semestilodepargrafo"/>
    <w:uiPriority w:val="99"/>
    <w:pPr>
      <w:tabs>
        <w:tab w:val="left" w:pos="198"/>
      </w:tabs>
      <w:spacing w:before="57" w:after="57" w:line="272" w:lineRule="atLeast"/>
      <w:ind w:left="198" w:hanging="198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10">
    <w:name w:val="1)"/>
    <w:basedOn w:val="Semestilodepargrafo"/>
    <w:uiPriority w:val="99"/>
    <w:pPr>
      <w:tabs>
        <w:tab w:val="left" w:pos="283"/>
      </w:tabs>
      <w:spacing w:before="68" w:after="68" w:line="276" w:lineRule="atLeast"/>
      <w:ind w:left="283" w:hanging="283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titcorpomenor">
    <w:name w:val="tit corpo menor"/>
    <w:basedOn w:val="10"/>
    <w:uiPriority w:val="99"/>
    <w:pPr>
      <w:spacing w:before="283" w:after="170"/>
      <w:ind w:firstLine="0"/>
    </w:pPr>
    <w:rPr>
      <w:b/>
      <w:bCs/>
      <w:spacing w:val="-4"/>
      <w:w w:val="90"/>
      <w:sz w:val="20"/>
      <w:szCs w:val="20"/>
    </w:rPr>
  </w:style>
  <w:style w:type="paragraph" w:customStyle="1" w:styleId="corpomenor">
    <w:name w:val="corpo menor"/>
    <w:basedOn w:val="Semestilodepargrafo"/>
    <w:uiPriority w:val="99"/>
    <w:pPr>
      <w:spacing w:before="57" w:after="57" w:line="240" w:lineRule="atLeast"/>
      <w:ind w:left="283"/>
      <w:jc w:val="both"/>
    </w:pPr>
    <w:rPr>
      <w:rFonts w:ascii="Century731 BT" w:hAnsi="Century731 BT" w:cs="Century731 BT"/>
      <w:sz w:val="20"/>
      <w:szCs w:val="20"/>
    </w:rPr>
  </w:style>
  <w:style w:type="paragraph" w:customStyle="1" w:styleId="anexo">
    <w:name w:val="anexo"/>
    <w:basedOn w:val="1"/>
    <w:next w:val="1"/>
    <w:uiPriority w:val="99"/>
    <w:pPr>
      <w:spacing w:before="0" w:after="57" w:line="300" w:lineRule="atLeast"/>
      <w:jc w:val="center"/>
    </w:pPr>
    <w:rPr>
      <w:caps/>
      <w:sz w:val="28"/>
      <w:szCs w:val="28"/>
    </w:rPr>
  </w:style>
  <w:style w:type="paragraph" w:customStyle="1" w:styleId="ANEXO0">
    <w:name w:val="ANEXO"/>
    <w:basedOn w:val="anexo"/>
    <w:next w:val="anexo"/>
    <w:uiPriority w:val="99"/>
    <w:pPr>
      <w:spacing w:before="340"/>
      <w:ind w:left="0" w:firstLine="0"/>
    </w:pPr>
    <w:rPr>
      <w:caps w:val="0"/>
    </w:rPr>
  </w:style>
  <w:style w:type="paragraph" w:customStyle="1" w:styleId="ANEXO1">
    <w:name w:val="ANEXO1"/>
    <w:basedOn w:val="1"/>
    <w:next w:val="1"/>
    <w:uiPriority w:val="99"/>
    <w:pPr>
      <w:spacing w:before="0" w:after="340"/>
      <w:ind w:left="0" w:firstLine="0"/>
      <w:jc w:val="center"/>
    </w:pPr>
  </w:style>
  <w:style w:type="paragraph" w:customStyle="1" w:styleId="DJ">
    <w:name w:val="DJ"/>
    <w:basedOn w:val="Semestilodepargrafo"/>
    <w:uiPriority w:val="99"/>
    <w:pPr>
      <w:spacing w:before="68" w:after="170" w:line="276" w:lineRule="atLeast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texto">
    <w:name w:val="texto"/>
    <w:basedOn w:val="Semestilodepargrafo"/>
    <w:uiPriority w:val="99"/>
    <w:pPr>
      <w:spacing w:before="68" w:after="68" w:line="276" w:lineRule="atLeast"/>
      <w:ind w:firstLine="567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seminrio1">
    <w:name w:val="seminário1"/>
    <w:basedOn w:val="Semestilodepargrafo"/>
    <w:uiPriority w:val="99"/>
    <w:pPr>
      <w:tabs>
        <w:tab w:val="right" w:leader="dot" w:pos="5954"/>
      </w:tabs>
      <w:spacing w:after="794" w:line="358" w:lineRule="atLeast"/>
      <w:jc w:val="center"/>
    </w:pPr>
    <w:rPr>
      <w:rFonts w:ascii="Garamond" w:hAnsi="Garamond" w:cs="Garamond"/>
      <w:b/>
      <w:bCs/>
      <w:sz w:val="32"/>
      <w:szCs w:val="32"/>
    </w:rPr>
  </w:style>
  <w:style w:type="paragraph" w:customStyle="1" w:styleId="abrerecuo">
    <w:name w:val="abre recuo"/>
    <w:basedOn w:val="Semestilodepargrafo"/>
    <w:uiPriority w:val="99"/>
    <w:pPr>
      <w:spacing w:before="227" w:after="57" w:line="240" w:lineRule="atLeast"/>
      <w:ind w:left="1134"/>
      <w:jc w:val="both"/>
    </w:pPr>
    <w:rPr>
      <w:rFonts w:ascii="Century731 BT" w:hAnsi="Century731 BT" w:cs="Century731 BT"/>
      <w:i/>
      <w:iCs/>
      <w:sz w:val="20"/>
      <w:szCs w:val="20"/>
    </w:rPr>
  </w:style>
  <w:style w:type="paragraph" w:customStyle="1" w:styleId="fecharecuo">
    <w:name w:val="fecha recuo"/>
    <w:basedOn w:val="Semestilodepargrafo"/>
    <w:uiPriority w:val="99"/>
    <w:pPr>
      <w:spacing w:before="57" w:after="227" w:line="240" w:lineRule="atLeast"/>
      <w:ind w:left="1134"/>
      <w:jc w:val="both"/>
    </w:pPr>
    <w:rPr>
      <w:rFonts w:ascii="Century731 BT" w:hAnsi="Century731 BT" w:cs="Century731 BT"/>
      <w:i/>
      <w:iCs/>
      <w:sz w:val="20"/>
      <w:szCs w:val="20"/>
    </w:rPr>
  </w:style>
  <w:style w:type="paragraph" w:customStyle="1" w:styleId="Pargrafobsico">
    <w:name w:val="[Parágrafo básico]"/>
    <w:basedOn w:val="Semestilodepargrafo"/>
    <w:uiPriority w:val="99"/>
  </w:style>
  <w:style w:type="paragraph" w:customStyle="1" w:styleId="recuo">
    <w:name w:val="recuo"/>
    <w:basedOn w:val="Pargrafobsico"/>
    <w:uiPriority w:val="99"/>
    <w:pPr>
      <w:spacing w:before="227" w:after="227" w:line="240" w:lineRule="atLeast"/>
      <w:ind w:left="1134"/>
      <w:jc w:val="both"/>
    </w:pPr>
    <w:rPr>
      <w:rFonts w:ascii="Century731 BT" w:hAnsi="Century731 BT" w:cs="Century731 BT"/>
      <w:i/>
      <w:iCs/>
      <w:sz w:val="20"/>
      <w:szCs w:val="20"/>
    </w:rPr>
  </w:style>
  <w:style w:type="paragraph" w:customStyle="1" w:styleId="recuoredondo">
    <w:name w:val="recuo redondo"/>
    <w:basedOn w:val="recuo"/>
    <w:uiPriority w:val="99"/>
  </w:style>
  <w:style w:type="paragraph" w:customStyle="1" w:styleId="EMENTA">
    <w:name w:val="EMENTA"/>
    <w:basedOn w:val="1"/>
    <w:next w:val="1"/>
    <w:uiPriority w:val="99"/>
    <w:pPr>
      <w:spacing w:line="272" w:lineRule="atLeast"/>
      <w:ind w:left="0" w:firstLine="0"/>
      <w:jc w:val="center"/>
    </w:pPr>
    <w:rPr>
      <w:caps/>
      <w:w w:val="100"/>
    </w:rPr>
  </w:style>
  <w:style w:type="paragraph" w:customStyle="1" w:styleId="TEXTO0">
    <w:name w:val="TEXTO"/>
    <w:basedOn w:val="Semestilodepargrafo"/>
    <w:uiPriority w:val="99"/>
    <w:pPr>
      <w:spacing w:before="57" w:after="57" w:line="280" w:lineRule="atLeast"/>
      <w:ind w:firstLine="510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abrerecuoredondo">
    <w:name w:val="abre recuo redondo"/>
    <w:basedOn w:val="Semestilodepargrafo"/>
    <w:uiPriority w:val="99"/>
    <w:pPr>
      <w:spacing w:before="227" w:after="57" w:line="240" w:lineRule="atLeast"/>
      <w:ind w:left="1134"/>
      <w:jc w:val="both"/>
    </w:pPr>
    <w:rPr>
      <w:rFonts w:ascii="Century731 BT" w:hAnsi="Century731 BT" w:cs="Century731 BT"/>
      <w:sz w:val="20"/>
      <w:szCs w:val="20"/>
    </w:rPr>
  </w:style>
  <w:style w:type="paragraph" w:customStyle="1" w:styleId="meiorecuoredondo">
    <w:name w:val="meio recuo redondo"/>
    <w:basedOn w:val="Semestilodepargrafo"/>
    <w:uiPriority w:val="99"/>
    <w:pPr>
      <w:spacing w:before="57" w:after="57"/>
      <w:ind w:left="1134"/>
      <w:jc w:val="both"/>
    </w:pPr>
    <w:rPr>
      <w:rFonts w:ascii="Century731 BT" w:hAnsi="Century731 BT" w:cs="Century731 BT"/>
      <w:sz w:val="20"/>
      <w:szCs w:val="20"/>
    </w:rPr>
  </w:style>
  <w:style w:type="paragraph" w:customStyle="1" w:styleId="fecharecuoredondo">
    <w:name w:val="fecha recuo redondo"/>
    <w:basedOn w:val="Semestilodepargrafo"/>
    <w:uiPriority w:val="99"/>
    <w:pPr>
      <w:spacing w:before="57" w:after="227" w:line="240" w:lineRule="atLeast"/>
      <w:ind w:left="1134"/>
      <w:jc w:val="both"/>
    </w:pPr>
    <w:rPr>
      <w:rFonts w:ascii="Century731 BT" w:hAnsi="Century731 BT" w:cs="Century731 BT"/>
      <w:sz w:val="20"/>
      <w:szCs w:val="20"/>
    </w:rPr>
  </w:style>
  <w:style w:type="paragraph" w:customStyle="1" w:styleId="BIBLIO">
    <w:name w:val="BIBLIO"/>
    <w:basedOn w:val="TEXTO0"/>
    <w:uiPriority w:val="99"/>
    <w:pPr>
      <w:spacing w:before="68" w:after="68" w:line="276" w:lineRule="atLeast"/>
      <w:ind w:left="340" w:hanging="340"/>
    </w:pPr>
  </w:style>
  <w:style w:type="paragraph" w:styleId="Textodenotaderodap">
    <w:name w:val="footnote text"/>
    <w:basedOn w:val="Pargrafobsico"/>
    <w:link w:val="TextodenotaderodapChar"/>
    <w:uiPriority w:val="9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cs="Times New Roman"/>
      <w:sz w:val="20"/>
      <w:szCs w:val="20"/>
    </w:rPr>
  </w:style>
  <w:style w:type="paragraph" w:customStyle="1" w:styleId="roda">
    <w:name w:val="roda"/>
    <w:basedOn w:val="Textodenotaderodap"/>
    <w:uiPriority w:val="99"/>
    <w:pPr>
      <w:spacing w:before="28" w:after="28" w:line="220" w:lineRule="atLeast"/>
      <w:jc w:val="both"/>
    </w:pPr>
    <w:rPr>
      <w:rFonts w:ascii="Century731 BT" w:hAnsi="Century731 BT" w:cs="Century731 BT"/>
      <w:sz w:val="18"/>
      <w:szCs w:val="18"/>
    </w:rPr>
  </w:style>
  <w:style w:type="character" w:customStyle="1" w:styleId="pagtit">
    <w:name w:val="pag_tit"/>
    <w:uiPriority w:val="99"/>
    <w:rPr>
      <w:w w:val="100"/>
    </w:rPr>
  </w:style>
  <w:style w:type="paragraph" w:customStyle="1" w:styleId="anexo2">
    <w:name w:val="anexo..."/>
    <w:basedOn w:val="Semestilodepargrafo"/>
    <w:uiPriority w:val="99"/>
    <w:rsid w:val="00940D52"/>
    <w:pPr>
      <w:tabs>
        <w:tab w:val="decimal" w:leader="dot" w:pos="5669"/>
        <w:tab w:val="right" w:pos="6236"/>
      </w:tabs>
      <w:spacing w:after="57" w:line="262" w:lineRule="atLeast"/>
      <w:ind w:left="227"/>
    </w:pPr>
    <w:rPr>
      <w:rFonts w:ascii="Century731 BT" w:hAnsi="Century731 BT" w:cs="Century731 BT"/>
      <w:smallCaps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C17F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17F4F"/>
    <w:rPr>
      <w:rFonts w:cs="Times New Roman"/>
    </w:rPr>
  </w:style>
  <w:style w:type="paragraph" w:styleId="Rodap">
    <w:name w:val="footer"/>
    <w:basedOn w:val="Normal"/>
    <w:link w:val="RodapChar"/>
    <w:unhideWhenUsed/>
    <w:rsid w:val="00C17F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7F4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foot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tilodepargrafo">
    <w:name w:val="[Sem estilo de parágrafo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1">
    <w:name w:val="1"/>
    <w:basedOn w:val="Semestilodepargrafo"/>
    <w:uiPriority w:val="99"/>
    <w:pPr>
      <w:tabs>
        <w:tab w:val="left" w:pos="340"/>
      </w:tabs>
      <w:suppressAutoHyphens/>
      <w:spacing w:before="340" w:after="170" w:line="280" w:lineRule="atLeast"/>
      <w:ind w:left="340" w:hanging="340"/>
    </w:pPr>
    <w:rPr>
      <w:rFonts w:ascii="Century731 BT" w:hAnsi="Century731 BT" w:cs="Century731 BT"/>
      <w:b/>
      <w:bCs/>
      <w:w w:val="90"/>
    </w:rPr>
  </w:style>
  <w:style w:type="paragraph" w:customStyle="1" w:styleId="BOLINHA">
    <w:name w:val="BOLINHA"/>
    <w:basedOn w:val="Semestilodepargrafo"/>
    <w:uiPriority w:val="99"/>
    <w:pPr>
      <w:tabs>
        <w:tab w:val="left" w:pos="198"/>
      </w:tabs>
      <w:spacing w:before="57" w:after="57" w:line="272" w:lineRule="atLeast"/>
      <w:ind w:left="198" w:hanging="198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10">
    <w:name w:val="1)"/>
    <w:basedOn w:val="Semestilodepargrafo"/>
    <w:uiPriority w:val="99"/>
    <w:pPr>
      <w:tabs>
        <w:tab w:val="left" w:pos="283"/>
      </w:tabs>
      <w:spacing w:before="68" w:after="68" w:line="276" w:lineRule="atLeast"/>
      <w:ind w:left="283" w:hanging="283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titcorpomenor">
    <w:name w:val="tit corpo menor"/>
    <w:basedOn w:val="10"/>
    <w:uiPriority w:val="99"/>
    <w:pPr>
      <w:spacing w:before="283" w:after="170"/>
      <w:ind w:firstLine="0"/>
    </w:pPr>
    <w:rPr>
      <w:b/>
      <w:bCs/>
      <w:spacing w:val="-4"/>
      <w:w w:val="90"/>
      <w:sz w:val="20"/>
      <w:szCs w:val="20"/>
    </w:rPr>
  </w:style>
  <w:style w:type="paragraph" w:customStyle="1" w:styleId="corpomenor">
    <w:name w:val="corpo menor"/>
    <w:basedOn w:val="Semestilodepargrafo"/>
    <w:uiPriority w:val="99"/>
    <w:pPr>
      <w:spacing w:before="57" w:after="57" w:line="240" w:lineRule="atLeast"/>
      <w:ind w:left="283"/>
      <w:jc w:val="both"/>
    </w:pPr>
    <w:rPr>
      <w:rFonts w:ascii="Century731 BT" w:hAnsi="Century731 BT" w:cs="Century731 BT"/>
      <w:sz w:val="20"/>
      <w:szCs w:val="20"/>
    </w:rPr>
  </w:style>
  <w:style w:type="paragraph" w:customStyle="1" w:styleId="anexo">
    <w:name w:val="anexo"/>
    <w:basedOn w:val="1"/>
    <w:next w:val="1"/>
    <w:uiPriority w:val="99"/>
    <w:pPr>
      <w:spacing w:before="0" w:after="57" w:line="300" w:lineRule="atLeast"/>
      <w:jc w:val="center"/>
    </w:pPr>
    <w:rPr>
      <w:caps/>
      <w:sz w:val="28"/>
      <w:szCs w:val="28"/>
    </w:rPr>
  </w:style>
  <w:style w:type="paragraph" w:customStyle="1" w:styleId="ANEXO0">
    <w:name w:val="ANEXO"/>
    <w:basedOn w:val="anexo"/>
    <w:next w:val="anexo"/>
    <w:uiPriority w:val="99"/>
    <w:pPr>
      <w:spacing w:before="340"/>
      <w:ind w:left="0" w:firstLine="0"/>
    </w:pPr>
    <w:rPr>
      <w:caps w:val="0"/>
    </w:rPr>
  </w:style>
  <w:style w:type="paragraph" w:customStyle="1" w:styleId="ANEXO1">
    <w:name w:val="ANEXO1"/>
    <w:basedOn w:val="1"/>
    <w:next w:val="1"/>
    <w:uiPriority w:val="99"/>
    <w:pPr>
      <w:spacing w:before="0" w:after="340"/>
      <w:ind w:left="0" w:firstLine="0"/>
      <w:jc w:val="center"/>
    </w:pPr>
  </w:style>
  <w:style w:type="paragraph" w:customStyle="1" w:styleId="DJ">
    <w:name w:val="DJ"/>
    <w:basedOn w:val="Semestilodepargrafo"/>
    <w:uiPriority w:val="99"/>
    <w:pPr>
      <w:spacing w:before="68" w:after="170" w:line="276" w:lineRule="atLeast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texto">
    <w:name w:val="texto"/>
    <w:basedOn w:val="Semestilodepargrafo"/>
    <w:uiPriority w:val="99"/>
    <w:pPr>
      <w:spacing w:before="68" w:after="68" w:line="276" w:lineRule="atLeast"/>
      <w:ind w:firstLine="567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seminrio1">
    <w:name w:val="seminário1"/>
    <w:basedOn w:val="Semestilodepargrafo"/>
    <w:uiPriority w:val="99"/>
    <w:pPr>
      <w:tabs>
        <w:tab w:val="right" w:leader="dot" w:pos="5954"/>
      </w:tabs>
      <w:spacing w:after="794" w:line="358" w:lineRule="atLeast"/>
      <w:jc w:val="center"/>
    </w:pPr>
    <w:rPr>
      <w:rFonts w:ascii="Garamond" w:hAnsi="Garamond" w:cs="Garamond"/>
      <w:b/>
      <w:bCs/>
      <w:sz w:val="32"/>
      <w:szCs w:val="32"/>
    </w:rPr>
  </w:style>
  <w:style w:type="paragraph" w:customStyle="1" w:styleId="abrerecuo">
    <w:name w:val="abre recuo"/>
    <w:basedOn w:val="Semestilodepargrafo"/>
    <w:uiPriority w:val="99"/>
    <w:pPr>
      <w:spacing w:before="227" w:after="57" w:line="240" w:lineRule="atLeast"/>
      <w:ind w:left="1134"/>
      <w:jc w:val="both"/>
    </w:pPr>
    <w:rPr>
      <w:rFonts w:ascii="Century731 BT" w:hAnsi="Century731 BT" w:cs="Century731 BT"/>
      <w:i/>
      <w:iCs/>
      <w:sz w:val="20"/>
      <w:szCs w:val="20"/>
    </w:rPr>
  </w:style>
  <w:style w:type="paragraph" w:customStyle="1" w:styleId="fecharecuo">
    <w:name w:val="fecha recuo"/>
    <w:basedOn w:val="Semestilodepargrafo"/>
    <w:uiPriority w:val="99"/>
    <w:pPr>
      <w:spacing w:before="57" w:after="227" w:line="240" w:lineRule="atLeast"/>
      <w:ind w:left="1134"/>
      <w:jc w:val="both"/>
    </w:pPr>
    <w:rPr>
      <w:rFonts w:ascii="Century731 BT" w:hAnsi="Century731 BT" w:cs="Century731 BT"/>
      <w:i/>
      <w:iCs/>
      <w:sz w:val="20"/>
      <w:szCs w:val="20"/>
    </w:rPr>
  </w:style>
  <w:style w:type="paragraph" w:customStyle="1" w:styleId="Pargrafobsico">
    <w:name w:val="[Parágrafo básico]"/>
    <w:basedOn w:val="Semestilodepargrafo"/>
    <w:uiPriority w:val="99"/>
  </w:style>
  <w:style w:type="paragraph" w:customStyle="1" w:styleId="recuo">
    <w:name w:val="recuo"/>
    <w:basedOn w:val="Pargrafobsico"/>
    <w:uiPriority w:val="99"/>
    <w:pPr>
      <w:spacing w:before="227" w:after="227" w:line="240" w:lineRule="atLeast"/>
      <w:ind w:left="1134"/>
      <w:jc w:val="both"/>
    </w:pPr>
    <w:rPr>
      <w:rFonts w:ascii="Century731 BT" w:hAnsi="Century731 BT" w:cs="Century731 BT"/>
      <w:i/>
      <w:iCs/>
      <w:sz w:val="20"/>
      <w:szCs w:val="20"/>
    </w:rPr>
  </w:style>
  <w:style w:type="paragraph" w:customStyle="1" w:styleId="recuoredondo">
    <w:name w:val="recuo redondo"/>
    <w:basedOn w:val="recuo"/>
    <w:uiPriority w:val="99"/>
  </w:style>
  <w:style w:type="paragraph" w:customStyle="1" w:styleId="EMENTA">
    <w:name w:val="EMENTA"/>
    <w:basedOn w:val="1"/>
    <w:next w:val="1"/>
    <w:uiPriority w:val="99"/>
    <w:pPr>
      <w:spacing w:line="272" w:lineRule="atLeast"/>
      <w:ind w:left="0" w:firstLine="0"/>
      <w:jc w:val="center"/>
    </w:pPr>
    <w:rPr>
      <w:caps/>
      <w:w w:val="100"/>
    </w:rPr>
  </w:style>
  <w:style w:type="paragraph" w:customStyle="1" w:styleId="TEXTO0">
    <w:name w:val="TEXTO"/>
    <w:basedOn w:val="Semestilodepargrafo"/>
    <w:uiPriority w:val="99"/>
    <w:pPr>
      <w:spacing w:before="57" w:after="57" w:line="280" w:lineRule="atLeast"/>
      <w:ind w:firstLine="510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abrerecuoredondo">
    <w:name w:val="abre recuo redondo"/>
    <w:basedOn w:val="Semestilodepargrafo"/>
    <w:uiPriority w:val="99"/>
    <w:pPr>
      <w:spacing w:before="227" w:after="57" w:line="240" w:lineRule="atLeast"/>
      <w:ind w:left="1134"/>
      <w:jc w:val="both"/>
    </w:pPr>
    <w:rPr>
      <w:rFonts w:ascii="Century731 BT" w:hAnsi="Century731 BT" w:cs="Century731 BT"/>
      <w:sz w:val="20"/>
      <w:szCs w:val="20"/>
    </w:rPr>
  </w:style>
  <w:style w:type="paragraph" w:customStyle="1" w:styleId="meiorecuoredondo">
    <w:name w:val="meio recuo redondo"/>
    <w:basedOn w:val="Semestilodepargrafo"/>
    <w:uiPriority w:val="99"/>
    <w:pPr>
      <w:spacing w:before="57" w:after="57"/>
      <w:ind w:left="1134"/>
      <w:jc w:val="both"/>
    </w:pPr>
    <w:rPr>
      <w:rFonts w:ascii="Century731 BT" w:hAnsi="Century731 BT" w:cs="Century731 BT"/>
      <w:sz w:val="20"/>
      <w:szCs w:val="20"/>
    </w:rPr>
  </w:style>
  <w:style w:type="paragraph" w:customStyle="1" w:styleId="fecharecuoredondo">
    <w:name w:val="fecha recuo redondo"/>
    <w:basedOn w:val="Semestilodepargrafo"/>
    <w:uiPriority w:val="99"/>
    <w:pPr>
      <w:spacing w:before="57" w:after="227" w:line="240" w:lineRule="atLeast"/>
      <w:ind w:left="1134"/>
      <w:jc w:val="both"/>
    </w:pPr>
    <w:rPr>
      <w:rFonts w:ascii="Century731 BT" w:hAnsi="Century731 BT" w:cs="Century731 BT"/>
      <w:sz w:val="20"/>
      <w:szCs w:val="20"/>
    </w:rPr>
  </w:style>
  <w:style w:type="paragraph" w:customStyle="1" w:styleId="BIBLIO">
    <w:name w:val="BIBLIO"/>
    <w:basedOn w:val="TEXTO0"/>
    <w:uiPriority w:val="99"/>
    <w:pPr>
      <w:spacing w:before="68" w:after="68" w:line="276" w:lineRule="atLeast"/>
      <w:ind w:left="340" w:hanging="340"/>
    </w:pPr>
  </w:style>
  <w:style w:type="paragraph" w:styleId="Textodenotaderodap">
    <w:name w:val="footnote text"/>
    <w:basedOn w:val="Pargrafobsico"/>
    <w:link w:val="TextodenotaderodapChar"/>
    <w:uiPriority w:val="9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cs="Times New Roman"/>
      <w:sz w:val="20"/>
      <w:szCs w:val="20"/>
    </w:rPr>
  </w:style>
  <w:style w:type="paragraph" w:customStyle="1" w:styleId="roda">
    <w:name w:val="roda"/>
    <w:basedOn w:val="Textodenotaderodap"/>
    <w:uiPriority w:val="99"/>
    <w:pPr>
      <w:spacing w:before="28" w:after="28" w:line="220" w:lineRule="atLeast"/>
      <w:jc w:val="both"/>
    </w:pPr>
    <w:rPr>
      <w:rFonts w:ascii="Century731 BT" w:hAnsi="Century731 BT" w:cs="Century731 BT"/>
      <w:sz w:val="18"/>
      <w:szCs w:val="18"/>
    </w:rPr>
  </w:style>
  <w:style w:type="character" w:customStyle="1" w:styleId="pagtit">
    <w:name w:val="pag_tit"/>
    <w:uiPriority w:val="99"/>
    <w:rPr>
      <w:w w:val="100"/>
    </w:rPr>
  </w:style>
  <w:style w:type="paragraph" w:customStyle="1" w:styleId="anexo2">
    <w:name w:val="anexo..."/>
    <w:basedOn w:val="Semestilodepargrafo"/>
    <w:uiPriority w:val="99"/>
    <w:rsid w:val="00940D52"/>
    <w:pPr>
      <w:tabs>
        <w:tab w:val="decimal" w:leader="dot" w:pos="5669"/>
        <w:tab w:val="right" w:pos="6236"/>
      </w:tabs>
      <w:spacing w:after="57" w:line="262" w:lineRule="atLeast"/>
      <w:ind w:left="227"/>
    </w:pPr>
    <w:rPr>
      <w:rFonts w:ascii="Century731 BT" w:hAnsi="Century731 BT" w:cs="Century731 BT"/>
      <w:smallCaps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C17F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17F4F"/>
    <w:rPr>
      <w:rFonts w:cs="Times New Roman"/>
    </w:rPr>
  </w:style>
  <w:style w:type="paragraph" w:styleId="Rodap">
    <w:name w:val="footer"/>
    <w:basedOn w:val="Normal"/>
    <w:link w:val="RodapChar"/>
    <w:unhideWhenUsed/>
    <w:rsid w:val="00C17F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7F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E376-1274-4777-A9C3-47BAFB31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3594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FINANCEIRO</cp:lastModifiedBy>
  <cp:revision>2</cp:revision>
  <dcterms:created xsi:type="dcterms:W3CDTF">2016-01-13T13:22:00Z</dcterms:created>
  <dcterms:modified xsi:type="dcterms:W3CDTF">2016-01-13T13:22:00Z</dcterms:modified>
</cp:coreProperties>
</file>