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19" w:rsidRDefault="00E8367C">
      <w:r>
        <w:t>QUESTÕES</w:t>
      </w:r>
    </w:p>
    <w:p w:rsidR="00E8367C" w:rsidRDefault="00E8367C" w:rsidP="00A70767">
      <w:pPr>
        <w:pStyle w:val="PargrafodaLista"/>
        <w:numPr>
          <w:ilvl w:val="0"/>
          <w:numId w:val="1"/>
        </w:numPr>
        <w:jc w:val="both"/>
      </w:pPr>
      <w:r>
        <w:t>Qual a natureza jurídica da execução fiscal e da medida cautelar fiscal? Identificar o fundamento e os requisitos legais da medida cautelar fiscal, bem como apontar qual o momento oportuno para sua propositura. (</w:t>
      </w:r>
      <w:proofErr w:type="gramStart"/>
      <w:r>
        <w:t>Vide anexo</w:t>
      </w:r>
      <w:proofErr w:type="gramEnd"/>
      <w:r>
        <w:t xml:space="preserve"> I).</w:t>
      </w:r>
    </w:p>
    <w:p w:rsidR="00E8367C" w:rsidRDefault="00E8367C" w:rsidP="00A70767">
      <w:pPr>
        <w:pStyle w:val="PargrafodaLista"/>
        <w:numPr>
          <w:ilvl w:val="0"/>
          <w:numId w:val="1"/>
        </w:numPr>
        <w:jc w:val="both"/>
      </w:pPr>
      <w:r>
        <w:t xml:space="preserve">Com relação ao instrumento constritivo do patrimônio do contribuinte-devedor previsto no art. 185-A do CTN (conhecido como </w:t>
      </w:r>
      <w:proofErr w:type="gramStart"/>
      <w:r>
        <w:t>penhora ´</w:t>
      </w:r>
      <w:proofErr w:type="gramEnd"/>
      <w:r>
        <w:t xml:space="preserve">´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line´</w:t>
      </w:r>
      <w:proofErr w:type="spellEnd"/>
      <w:r>
        <w:t xml:space="preserve">´). Pergunta-se: (i) Qual sua natureza jurídica? Trata-se de espécie de penhora ou de medida cautelar </w:t>
      </w:r>
      <w:proofErr w:type="spellStart"/>
      <w:r>
        <w:t>satisfativa</w:t>
      </w:r>
      <w:proofErr w:type="spellEnd"/>
      <w:r>
        <w:t xml:space="preserve">? (ii) A decretação da indisponibilidade a que se refere o art. 185-A do CTN é fato jurídico suficiente a abertura de prazo para </w:t>
      </w:r>
      <w:r w:rsidR="00E7703D">
        <w:t xml:space="preserve">apresentação de embargos? (iii) Quais seus pressupostos e limites legais? É necessário demonstração por parte da fazenda de que </w:t>
      </w:r>
      <w:proofErr w:type="gramStart"/>
      <w:r w:rsidR="00E7703D">
        <w:t>inexiste</w:t>
      </w:r>
      <w:proofErr w:type="gramEnd"/>
      <w:r w:rsidR="00E7703D">
        <w:t xml:space="preserve"> outros bens capazes de garantir a divida? Ou aplica-se o art. 655-A do CPC? (</w:t>
      </w:r>
      <w:proofErr w:type="gramStart"/>
      <w:r w:rsidR="00E7703D">
        <w:t>Vide Anexo</w:t>
      </w:r>
      <w:proofErr w:type="gramEnd"/>
      <w:r w:rsidR="00E7703D">
        <w:t xml:space="preserve"> II)</w:t>
      </w:r>
    </w:p>
    <w:p w:rsidR="00E7703D" w:rsidRDefault="00E7703D" w:rsidP="00A70767">
      <w:pPr>
        <w:pStyle w:val="PargrafodaLista"/>
        <w:numPr>
          <w:ilvl w:val="0"/>
          <w:numId w:val="1"/>
        </w:numPr>
        <w:jc w:val="both"/>
      </w:pPr>
      <w:r>
        <w:t>O administrador, quando chamado para responder pelo débito tributário com fundamento no art. 135 do CTN, deve integrar o processo administrativo tributário? (</w:t>
      </w:r>
      <w:proofErr w:type="gramStart"/>
      <w:r>
        <w:t>Vide anexo</w:t>
      </w:r>
      <w:proofErr w:type="gramEnd"/>
      <w:r>
        <w:t xml:space="preserve"> III). Se não integrar (o processo administrativo), qual o fundamento legal para que haja cobrança (re</w:t>
      </w:r>
      <w:r w:rsidR="00F62070">
        <w:t>direcionamento) e em que prazo ela deve ser efetuada?</w:t>
      </w:r>
      <w:r w:rsidR="001254E5">
        <w:t xml:space="preserve"> (</w:t>
      </w:r>
      <w:proofErr w:type="gramStart"/>
      <w:r w:rsidR="001254E5">
        <w:t>Vide anexo</w:t>
      </w:r>
      <w:proofErr w:type="gramEnd"/>
      <w:r w:rsidR="001254E5">
        <w:t xml:space="preserve"> V e VI).</w:t>
      </w:r>
    </w:p>
    <w:p w:rsidR="001254E5" w:rsidRDefault="001254E5" w:rsidP="00A70767">
      <w:pPr>
        <w:pStyle w:val="PargrafodaLista"/>
        <w:numPr>
          <w:ilvl w:val="0"/>
          <w:numId w:val="1"/>
        </w:numPr>
        <w:jc w:val="both"/>
      </w:pPr>
      <w:r>
        <w:t xml:space="preserve">A CDA que instrui a petição inicial do executivo fiscal pode ser retificada quantas vezes bem entender </w:t>
      </w:r>
      <w:r w:rsidR="00BB143A">
        <w:t>o Fisco? Quais vícios fundamentam sua retificação? Até que momento a CDA pode ser alterada? (</w:t>
      </w:r>
      <w:proofErr w:type="gramStart"/>
      <w:r w:rsidR="00BB143A">
        <w:t>vide anexos</w:t>
      </w:r>
      <w:proofErr w:type="gramEnd"/>
      <w:r w:rsidR="00BB143A">
        <w:t xml:space="preserve"> V e VI).</w:t>
      </w:r>
    </w:p>
    <w:p w:rsidR="00BB143A" w:rsidRDefault="00BB143A" w:rsidP="00A70767">
      <w:pPr>
        <w:pStyle w:val="PargrafodaLista"/>
        <w:numPr>
          <w:ilvl w:val="0"/>
          <w:numId w:val="1"/>
        </w:numPr>
        <w:jc w:val="both"/>
      </w:pPr>
      <w:r>
        <w:t xml:space="preserve">Considerando as alterações relativas ao </w:t>
      </w:r>
      <w:proofErr w:type="gramStart"/>
      <w:r>
        <w:t xml:space="preserve">processo de execução trazidas pela </w:t>
      </w:r>
      <w:proofErr w:type="spellStart"/>
      <w:r>
        <w:t>Lein</w:t>
      </w:r>
      <w:proofErr w:type="spellEnd"/>
      <w:proofErr w:type="gramEnd"/>
      <w:r>
        <w:t>. 11.382, de 6 de dezembro de 2006, pergunta-se:</w:t>
      </w:r>
    </w:p>
    <w:p w:rsidR="00BB143A" w:rsidRDefault="00BB143A" w:rsidP="00A70767">
      <w:pPr>
        <w:pStyle w:val="PargrafodaLista"/>
        <w:numPr>
          <w:ilvl w:val="0"/>
          <w:numId w:val="2"/>
        </w:numPr>
        <w:jc w:val="both"/>
      </w:pPr>
      <w:r>
        <w:t>Aplicam-se os artigos 738 e 739-A do Código de Processo Civil nos processos de Execução Fiscal? (</w:t>
      </w:r>
      <w:proofErr w:type="gramStart"/>
      <w:r>
        <w:t>Vide anexos VII</w:t>
      </w:r>
      <w:proofErr w:type="gramEnd"/>
      <w:r>
        <w:t xml:space="preserve"> e VIII)</w:t>
      </w:r>
    </w:p>
    <w:p w:rsidR="00BB143A" w:rsidRDefault="00BB143A" w:rsidP="00A70767">
      <w:pPr>
        <w:pStyle w:val="PargrafodaLista"/>
        <w:numPr>
          <w:ilvl w:val="0"/>
          <w:numId w:val="2"/>
        </w:numPr>
        <w:jc w:val="both"/>
      </w:pPr>
      <w:r>
        <w:t>Na execução fiscal, ao executado ainda persiste o direito de, no prazo de 5 dias da sua citação, ´</w:t>
      </w:r>
      <w:proofErr w:type="spellStart"/>
      <w:r>
        <w:t>´garantir</w:t>
      </w:r>
      <w:proofErr w:type="spellEnd"/>
      <w:r>
        <w:t xml:space="preserve"> a </w:t>
      </w:r>
      <w:proofErr w:type="spellStart"/>
      <w:proofErr w:type="gramStart"/>
      <w:r>
        <w:t>execução´</w:t>
      </w:r>
      <w:proofErr w:type="spellEnd"/>
      <w:proofErr w:type="gramEnd"/>
      <w:r>
        <w:t>´? Justifique sua resposta.</w:t>
      </w:r>
    </w:p>
    <w:p w:rsidR="00BB143A" w:rsidRDefault="00BB143A" w:rsidP="00A70767">
      <w:pPr>
        <w:pStyle w:val="PargrafodaLista"/>
        <w:numPr>
          <w:ilvl w:val="0"/>
          <w:numId w:val="1"/>
        </w:numPr>
        <w:jc w:val="both"/>
      </w:pPr>
      <w:r>
        <w:t xml:space="preserve">Diferencie fiança bancaria e seguro garantia na substituição da penhora (Vide modificação da LEF pela Lei n. 13.043/14 e anexo IX). Qual é a ordem preferencial para a penhora na execução fiscal, a prevista no art. 11 da Lei n. </w:t>
      </w:r>
      <w:r w:rsidR="00A70767">
        <w:t>6.830/80 ou a prevista no art. 655 do CPC, com a redação dada pela Lei n. 11.382, 6 de dezembro de 2006? Justifique sua resposta. (</w:t>
      </w:r>
      <w:proofErr w:type="gramStart"/>
      <w:r w:rsidR="00A70767">
        <w:t>Vide anexo</w:t>
      </w:r>
      <w:proofErr w:type="gramEnd"/>
      <w:r w:rsidR="00A70767">
        <w:t xml:space="preserve"> x).</w:t>
      </w:r>
    </w:p>
    <w:sectPr w:rsidR="00BB143A" w:rsidSect="00DC7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532B6"/>
    <w:multiLevelType w:val="hybridMultilevel"/>
    <w:tmpl w:val="E6062F5E"/>
    <w:lvl w:ilvl="0" w:tplc="0D0CDF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C1BEC"/>
    <w:multiLevelType w:val="hybridMultilevel"/>
    <w:tmpl w:val="0E08A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367C"/>
    <w:rsid w:val="001254E5"/>
    <w:rsid w:val="004F3270"/>
    <w:rsid w:val="00867118"/>
    <w:rsid w:val="00A70767"/>
    <w:rsid w:val="00BB143A"/>
    <w:rsid w:val="00DC7C19"/>
    <w:rsid w:val="00E7703D"/>
    <w:rsid w:val="00E8367C"/>
    <w:rsid w:val="00F6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3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AgilTec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crislaine</dc:creator>
  <cp:keywords/>
  <dc:description/>
  <cp:lastModifiedBy>crislaine</cp:lastModifiedBy>
  <cp:revision>2</cp:revision>
  <dcterms:created xsi:type="dcterms:W3CDTF">2015-09-28T14:36:00Z</dcterms:created>
  <dcterms:modified xsi:type="dcterms:W3CDTF">2015-09-28T15:22:00Z</dcterms:modified>
</cp:coreProperties>
</file>