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C19" w:rsidRDefault="00322E8B">
      <w:pPr>
        <w:rPr>
          <w:b/>
        </w:rPr>
      </w:pPr>
      <w:r w:rsidRPr="00CF1693">
        <w:rPr>
          <w:b/>
        </w:rPr>
        <w:t>QUESTÕES</w:t>
      </w:r>
    </w:p>
    <w:p w:rsidR="00CF1693" w:rsidRPr="00CF1693" w:rsidRDefault="00CF1693">
      <w:pPr>
        <w:rPr>
          <w:b/>
        </w:rPr>
      </w:pPr>
    </w:p>
    <w:p w:rsidR="00322E8B" w:rsidRDefault="00CF1693" w:rsidP="00CF1693">
      <w:pPr>
        <w:pStyle w:val="PargrafodaLista"/>
        <w:numPr>
          <w:ilvl w:val="0"/>
          <w:numId w:val="1"/>
        </w:numPr>
        <w:jc w:val="both"/>
      </w:pPr>
      <w:r>
        <w:t>Recurso</w:t>
      </w:r>
      <w:r w:rsidR="00322E8B">
        <w:t xml:space="preserve"> administrativo protocolado intempestivamente tem o condão de suspender a exigibilidade do crédito tributário?Fundamentar sua decisão baseada no que dispõe o art. 35 do Decreto Federal n. 70.235/1972: ´´ </w:t>
      </w:r>
      <w:r w:rsidR="00322E8B" w:rsidRPr="00322E8B">
        <w:rPr>
          <w:i/>
        </w:rPr>
        <w:t xml:space="preserve">Art.35. O recurso, mesmo perempto, será encaminhado ao órgão de segunda instancia, que julgará a </w:t>
      </w:r>
      <w:proofErr w:type="gramStart"/>
      <w:r w:rsidR="00322E8B" w:rsidRPr="00322E8B">
        <w:rPr>
          <w:i/>
        </w:rPr>
        <w:t>perempção</w:t>
      </w:r>
      <w:r w:rsidR="00322E8B">
        <w:t>´</w:t>
      </w:r>
      <w:proofErr w:type="gramEnd"/>
      <w:r w:rsidR="00322E8B">
        <w:t xml:space="preserve"> . (</w:t>
      </w:r>
      <w:proofErr w:type="gramStart"/>
      <w:r w:rsidR="00322E8B">
        <w:t>Vide anexos I, II e III</w:t>
      </w:r>
      <w:proofErr w:type="gramEnd"/>
      <w:r w:rsidR="00322E8B">
        <w:t>).</w:t>
      </w:r>
    </w:p>
    <w:p w:rsidR="00322E8B" w:rsidRDefault="00322E8B" w:rsidP="00CF1693">
      <w:pPr>
        <w:pStyle w:val="PargrafodaLista"/>
        <w:numPr>
          <w:ilvl w:val="0"/>
          <w:numId w:val="1"/>
        </w:numPr>
        <w:jc w:val="both"/>
      </w:pPr>
      <w:r>
        <w:t>Considerando a presunção de legitimidade dos atos administrativos, o ônus da prova compete sempre aos contribuintes? Até que momento o contribuinte (recorrente) pode juntar aos autos provas documentais? (</w:t>
      </w:r>
      <w:proofErr w:type="gramStart"/>
      <w:r>
        <w:t>Vide anexo</w:t>
      </w:r>
      <w:proofErr w:type="gramEnd"/>
      <w:r>
        <w:t xml:space="preserve"> IV).</w:t>
      </w:r>
    </w:p>
    <w:p w:rsidR="00322E8B" w:rsidRDefault="00322E8B" w:rsidP="00CF1693">
      <w:pPr>
        <w:pStyle w:val="PargrafodaLista"/>
        <w:numPr>
          <w:ilvl w:val="0"/>
          <w:numId w:val="1"/>
        </w:numPr>
        <w:jc w:val="both"/>
      </w:pPr>
      <w:r>
        <w:t xml:space="preserve">Os tribunais administrativos </w:t>
      </w:r>
      <w:proofErr w:type="gramStart"/>
      <w:r>
        <w:t>exercem ´</w:t>
      </w:r>
      <w:proofErr w:type="gramEnd"/>
      <w:r>
        <w:t xml:space="preserve">´jurisdição´´. </w:t>
      </w:r>
      <w:r w:rsidR="0086474C">
        <w:t xml:space="preserve"> Justifique sua resposta, </w:t>
      </w:r>
      <w:proofErr w:type="gramStart"/>
      <w:r w:rsidR="0086474C">
        <w:t>definindo ´</w:t>
      </w:r>
      <w:proofErr w:type="gramEnd"/>
      <w:r w:rsidR="0086474C">
        <w:t xml:space="preserve">´jurisdição´´. </w:t>
      </w:r>
      <w:r>
        <w:t xml:space="preserve"> Podem, no ato de julgar, afastar a aplicação de lei sob a alegação de sua incompatibilidade com a Constituição? Pode a decisão </w:t>
      </w:r>
      <w:r w:rsidR="00CF1693">
        <w:t>administrativa</w:t>
      </w:r>
      <w:r>
        <w:t xml:space="preserve"> inovar o efeito, agravando o lançamento por ocasião do julgamento da defesa do contribuinte? (</w:t>
      </w:r>
      <w:proofErr w:type="gramStart"/>
      <w:r>
        <w:t>Vide anexos</w:t>
      </w:r>
      <w:proofErr w:type="gramEnd"/>
      <w:r>
        <w:t xml:space="preserve"> V e VI).</w:t>
      </w:r>
    </w:p>
    <w:p w:rsidR="00CF1693" w:rsidRDefault="00CF1693" w:rsidP="00CF1693">
      <w:pPr>
        <w:pStyle w:val="PargrafodaLista"/>
        <w:numPr>
          <w:ilvl w:val="0"/>
          <w:numId w:val="1"/>
        </w:numPr>
        <w:jc w:val="both"/>
      </w:pPr>
      <w:proofErr w:type="gramStart"/>
      <w:r>
        <w:t xml:space="preserve">Recursos </w:t>
      </w:r>
      <w:r w:rsidR="00322E8B">
        <w:t>administrativo</w:t>
      </w:r>
      <w:r>
        <w:t xml:space="preserve"> </w:t>
      </w:r>
      <w:r w:rsidR="00322E8B">
        <w:t>interposto junto ao CARF é</w:t>
      </w:r>
      <w:proofErr w:type="gramEnd"/>
      <w:r w:rsidR="00322E8B">
        <w:t xml:space="preserve"> julgado, por unanimidade</w:t>
      </w:r>
      <w:r>
        <w:t>, favoravelmente</w:t>
      </w:r>
      <w:r w:rsidR="00322E8B">
        <w:t xml:space="preserve"> </w:t>
      </w:r>
      <w:r>
        <w:t>ao contribuinte. A decisão exarada é passível de controle pelo Judiciário em ação proposta pelo Fisco?</w:t>
      </w:r>
    </w:p>
    <w:p w:rsidR="00CF1693" w:rsidRDefault="00CF1693" w:rsidP="00CF1693">
      <w:pPr>
        <w:pStyle w:val="PargrafodaLista"/>
        <w:numPr>
          <w:ilvl w:val="0"/>
          <w:numId w:val="1"/>
        </w:numPr>
        <w:jc w:val="both"/>
      </w:pPr>
      <w:r>
        <w:t>A existência de processo judicial e administrativo concomitantes implica renúncias administrativas? (</w:t>
      </w:r>
      <w:proofErr w:type="gramStart"/>
      <w:r>
        <w:t>Vide anexos VII, VIII e IX</w:t>
      </w:r>
      <w:proofErr w:type="gramEnd"/>
      <w:r>
        <w:t>).</w:t>
      </w:r>
    </w:p>
    <w:p w:rsidR="00CF1693" w:rsidRDefault="00CF1693" w:rsidP="00CF1693">
      <w:pPr>
        <w:pStyle w:val="PargrafodaLista"/>
        <w:numPr>
          <w:ilvl w:val="0"/>
          <w:numId w:val="1"/>
        </w:numPr>
        <w:jc w:val="both"/>
      </w:pPr>
      <w:r>
        <w:t>Respondendo consulta formulada por contribuinte, a Receita Federal do Brasil, por intermédio de seu secretário, manifesta sua concordância a respeito do posicionamento por ele adotado. Posteriormente, o STF (sem modulação dos efeitos) julga inconstitucional a lei sob a qual tal entendimento estava embasado. Quais as conseqüências dessa decisão em relação ao ato administrativo exarado pelo secretário da Receita Federal do Brasil?</w:t>
      </w:r>
    </w:p>
    <w:p w:rsidR="00CF1693" w:rsidRDefault="00CF1693" w:rsidP="00CF1693"/>
    <w:p w:rsidR="00322E8B" w:rsidRDefault="00CF1693" w:rsidP="00CF1693">
      <w:r>
        <w:t xml:space="preserve"> </w:t>
      </w:r>
    </w:p>
    <w:p w:rsidR="00032C58" w:rsidRDefault="00032C58" w:rsidP="00CF1693"/>
    <w:p w:rsidR="00032C58" w:rsidRDefault="00032C58" w:rsidP="00CF1693"/>
    <w:p w:rsidR="00032C58" w:rsidRDefault="00032C58" w:rsidP="00CF1693"/>
    <w:p w:rsidR="00032C58" w:rsidRDefault="00032C58" w:rsidP="00CF1693"/>
    <w:p w:rsidR="00032C58" w:rsidRDefault="00032C58" w:rsidP="00CF1693"/>
    <w:p w:rsidR="00032C58" w:rsidRDefault="00032C58" w:rsidP="00CF1693"/>
    <w:p w:rsidR="00032C58" w:rsidRDefault="00032C58" w:rsidP="00CF1693"/>
    <w:p w:rsidR="00032C58" w:rsidRDefault="00032C58" w:rsidP="00CF1693"/>
    <w:p w:rsidR="00032C58" w:rsidRDefault="00032C58" w:rsidP="00CF1693"/>
    <w:p w:rsidR="00032C58" w:rsidRDefault="00032C58" w:rsidP="00032C58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r w:rsidRPr="00032C58">
        <w:rPr>
          <w:sz w:val="28"/>
          <w:szCs w:val="28"/>
        </w:rPr>
        <w:lastRenderedPageBreak/>
        <w:t>Recurso administrativo protocolado intempestivamente tem o condão de suspender a exigibilidade do crédito tributário?</w:t>
      </w:r>
      <w:r>
        <w:rPr>
          <w:sz w:val="28"/>
          <w:szCs w:val="28"/>
        </w:rPr>
        <w:t xml:space="preserve"> </w:t>
      </w:r>
      <w:r w:rsidRPr="00032C58">
        <w:rPr>
          <w:sz w:val="28"/>
          <w:szCs w:val="28"/>
        </w:rPr>
        <w:t xml:space="preserve">Fundamentar sua decisão baseada no que dispõe o art. 35 do Decreto Federal n. 70.235/1972: ´´ </w:t>
      </w:r>
      <w:r w:rsidRPr="00032C58">
        <w:rPr>
          <w:i/>
          <w:sz w:val="28"/>
          <w:szCs w:val="28"/>
        </w:rPr>
        <w:t xml:space="preserve">Art.35. O recurso, mesmo perempto, será encaminhado ao órgão de segunda instancia, que julgará a </w:t>
      </w:r>
      <w:proofErr w:type="gramStart"/>
      <w:r w:rsidRPr="00032C58">
        <w:rPr>
          <w:i/>
          <w:sz w:val="28"/>
          <w:szCs w:val="28"/>
        </w:rPr>
        <w:t>perempção</w:t>
      </w:r>
      <w:r w:rsidRPr="00032C58">
        <w:rPr>
          <w:sz w:val="28"/>
          <w:szCs w:val="28"/>
        </w:rPr>
        <w:t>´</w:t>
      </w:r>
      <w:proofErr w:type="gramEnd"/>
      <w:r w:rsidRPr="00032C58">
        <w:rPr>
          <w:sz w:val="28"/>
          <w:szCs w:val="28"/>
        </w:rPr>
        <w:t xml:space="preserve"> . (</w:t>
      </w:r>
      <w:proofErr w:type="gramStart"/>
      <w:r w:rsidRPr="00032C58">
        <w:rPr>
          <w:sz w:val="28"/>
          <w:szCs w:val="28"/>
        </w:rPr>
        <w:t>Vide anexos I, II e III</w:t>
      </w:r>
      <w:proofErr w:type="gramEnd"/>
      <w:r w:rsidRPr="00032C58">
        <w:rPr>
          <w:sz w:val="28"/>
          <w:szCs w:val="28"/>
        </w:rPr>
        <w:t>).</w:t>
      </w:r>
    </w:p>
    <w:p w:rsidR="00C84305" w:rsidRDefault="00C84305" w:rsidP="00C84305">
      <w:pPr>
        <w:jc w:val="both"/>
        <w:rPr>
          <w:sz w:val="28"/>
          <w:szCs w:val="28"/>
        </w:rPr>
      </w:pPr>
    </w:p>
    <w:p w:rsidR="00851DFC" w:rsidRDefault="00DA60AD" w:rsidP="00C843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R. Tem o condão de suspender a exigibilidade do crédito tributário, pois o mesmo será encaminhado para segunda instância, que julgará a perempção, </w:t>
      </w:r>
      <w:r w:rsidR="00846824">
        <w:rPr>
          <w:sz w:val="28"/>
          <w:szCs w:val="28"/>
        </w:rPr>
        <w:t xml:space="preserve">cumulado com artigo 141 e 151, III, </w:t>
      </w:r>
      <w:r w:rsidR="00A94831">
        <w:rPr>
          <w:sz w:val="28"/>
          <w:szCs w:val="28"/>
        </w:rPr>
        <w:t xml:space="preserve">ambos do CTN, </w:t>
      </w:r>
      <w:r w:rsidR="00846824">
        <w:rPr>
          <w:sz w:val="28"/>
          <w:szCs w:val="28"/>
        </w:rPr>
        <w:t xml:space="preserve">os recursos nos </w:t>
      </w:r>
      <w:proofErr w:type="gramStart"/>
      <w:r w:rsidR="00846824">
        <w:rPr>
          <w:sz w:val="28"/>
          <w:szCs w:val="28"/>
        </w:rPr>
        <w:t>processos administrativo</w:t>
      </w:r>
      <w:proofErr w:type="gramEnd"/>
      <w:r w:rsidR="00846824">
        <w:rPr>
          <w:sz w:val="28"/>
          <w:szCs w:val="28"/>
        </w:rPr>
        <w:t xml:space="preserve"> suspendem a exigibilidade do crédito, uma vez recebido o recurso, mesmo que não seja reconhecido em virtude de sua </w:t>
      </w:r>
      <w:r w:rsidR="00F502E7">
        <w:rPr>
          <w:sz w:val="28"/>
          <w:szCs w:val="28"/>
        </w:rPr>
        <w:t>perempção</w:t>
      </w:r>
      <w:r w:rsidR="00846824">
        <w:rPr>
          <w:sz w:val="28"/>
          <w:szCs w:val="28"/>
        </w:rPr>
        <w:t xml:space="preserve">, </w:t>
      </w:r>
      <w:r w:rsidR="00F502E7">
        <w:rPr>
          <w:sz w:val="28"/>
          <w:szCs w:val="28"/>
        </w:rPr>
        <w:t xml:space="preserve">ou seja até </w:t>
      </w:r>
      <w:r w:rsidR="00846824">
        <w:rPr>
          <w:sz w:val="28"/>
          <w:szCs w:val="28"/>
        </w:rPr>
        <w:t>o julgamento</w:t>
      </w:r>
      <w:r w:rsidR="00F502E7">
        <w:rPr>
          <w:sz w:val="28"/>
          <w:szCs w:val="28"/>
        </w:rPr>
        <w:t xml:space="preserve"> da perempção </w:t>
      </w:r>
      <w:r w:rsidR="00846824">
        <w:rPr>
          <w:sz w:val="28"/>
          <w:szCs w:val="28"/>
        </w:rPr>
        <w:t>o crédito tributário poderá ter sua exigibilidade suspens</w:t>
      </w:r>
      <w:r w:rsidR="00F502E7">
        <w:rPr>
          <w:sz w:val="28"/>
          <w:szCs w:val="28"/>
        </w:rPr>
        <w:t>a</w:t>
      </w:r>
      <w:r w:rsidR="00846824">
        <w:rPr>
          <w:sz w:val="28"/>
          <w:szCs w:val="28"/>
        </w:rPr>
        <w:t>.</w:t>
      </w:r>
    </w:p>
    <w:p w:rsidR="00A94831" w:rsidRDefault="00A94831" w:rsidP="00C8430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Artigo 141 e 151, CTN,  aduz</w:t>
      </w:r>
      <w:proofErr w:type="gramEnd"/>
      <w:r>
        <w:rPr>
          <w:sz w:val="28"/>
          <w:szCs w:val="28"/>
        </w:rPr>
        <w:t>:</w:t>
      </w:r>
    </w:p>
    <w:p w:rsidR="00851DFC" w:rsidRDefault="00851DFC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sz w:val="28"/>
          <w:szCs w:val="28"/>
        </w:rPr>
        <w:t>“</w:t>
      </w:r>
      <w:r>
        <w:rPr>
          <w:rFonts w:ascii="Arial" w:hAnsi="Arial" w:cs="Arial"/>
          <w:color w:val="000000"/>
          <w:shd w:val="clear" w:color="auto" w:fill="FFFFFF"/>
        </w:rPr>
        <w:t xml:space="preserve">Art. 141. O crédito tributário regularmente constituído somente se modifica ou extingue, ou tem sua exigibilidade suspensa ou excluída, nos casos previstos nesta Lei, fora dos quais não podem ser dispensadas,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sob pena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de responsabilidade funcional na forma da lei, a sua efetivação ou as respectivas garantias.</w:t>
      </w:r>
      <w:r>
        <w:rPr>
          <w:rFonts w:ascii="Arial" w:hAnsi="Arial" w:cs="Arial"/>
          <w:color w:val="000000"/>
          <w:shd w:val="clear" w:color="auto" w:fill="FFFFFF"/>
        </w:rPr>
        <w:t>”</w:t>
      </w:r>
    </w:p>
    <w:p w:rsidR="00851DFC" w:rsidRDefault="00851DFC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</w:p>
    <w:p w:rsidR="00851DFC" w:rsidRPr="00851DFC" w:rsidRDefault="00851DFC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851DFC">
        <w:rPr>
          <w:rFonts w:ascii="Arial" w:hAnsi="Arial" w:cs="Arial"/>
          <w:color w:val="000000"/>
          <w:shd w:val="clear" w:color="auto" w:fill="FFFFFF"/>
        </w:rPr>
        <w:t>“Art. 151.</w:t>
      </w:r>
      <w:proofErr w:type="gramEnd"/>
      <w:r w:rsidRPr="00851DFC">
        <w:rPr>
          <w:rFonts w:ascii="Arial" w:hAnsi="Arial" w:cs="Arial"/>
          <w:color w:val="000000"/>
          <w:shd w:val="clear" w:color="auto" w:fill="FFFFFF"/>
        </w:rPr>
        <w:t xml:space="preserve"> Suspendem a exigibilidade do crédito tributário:</w:t>
      </w:r>
    </w:p>
    <w:p w:rsidR="00851DFC" w:rsidRPr="00851DFC" w:rsidRDefault="00851DFC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  <w:r w:rsidRPr="00851DFC">
        <w:rPr>
          <w:rFonts w:ascii="Arial" w:hAnsi="Arial" w:cs="Arial"/>
          <w:color w:val="000000"/>
          <w:shd w:val="clear" w:color="auto" w:fill="FFFFFF"/>
        </w:rPr>
        <w:t> </w:t>
      </w:r>
      <w:bookmarkStart w:id="0" w:name="art151i"/>
      <w:bookmarkEnd w:id="0"/>
      <w:r w:rsidRPr="00851DFC">
        <w:rPr>
          <w:rFonts w:ascii="Arial" w:hAnsi="Arial" w:cs="Arial"/>
          <w:color w:val="000000"/>
          <w:shd w:val="clear" w:color="auto" w:fill="FFFFFF"/>
        </w:rPr>
        <w:t> I - moratória;</w:t>
      </w:r>
    </w:p>
    <w:p w:rsidR="00851DFC" w:rsidRPr="00851DFC" w:rsidRDefault="00851DFC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  <w:r w:rsidRPr="00851DFC">
        <w:rPr>
          <w:rFonts w:ascii="Arial" w:hAnsi="Arial" w:cs="Arial"/>
          <w:color w:val="000000"/>
          <w:shd w:val="clear" w:color="auto" w:fill="FFFFFF"/>
        </w:rPr>
        <w:t> </w:t>
      </w:r>
      <w:bookmarkStart w:id="1" w:name="art151ii"/>
      <w:bookmarkEnd w:id="1"/>
      <w:r w:rsidRPr="00851DFC">
        <w:rPr>
          <w:rFonts w:ascii="Arial" w:hAnsi="Arial" w:cs="Arial"/>
          <w:color w:val="000000"/>
          <w:shd w:val="clear" w:color="auto" w:fill="FFFFFF"/>
        </w:rPr>
        <w:t>II - o depósito do seu montante integral;</w:t>
      </w:r>
    </w:p>
    <w:p w:rsidR="00851DFC" w:rsidRPr="00851DFC" w:rsidRDefault="00851DFC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  <w:r w:rsidRPr="00851DFC">
        <w:rPr>
          <w:rFonts w:ascii="Arial" w:hAnsi="Arial" w:cs="Arial"/>
          <w:color w:val="000000"/>
          <w:shd w:val="clear" w:color="auto" w:fill="FFFFFF"/>
        </w:rPr>
        <w:t>  </w:t>
      </w:r>
      <w:bookmarkStart w:id="2" w:name="art151iii"/>
      <w:bookmarkEnd w:id="2"/>
      <w:r w:rsidRPr="00851DFC">
        <w:rPr>
          <w:rFonts w:ascii="Arial" w:hAnsi="Arial" w:cs="Arial"/>
          <w:color w:val="000000"/>
          <w:shd w:val="clear" w:color="auto" w:fill="FFFFFF"/>
        </w:rPr>
        <w:t>III - as reclamações e os recursos, nos termos das leis reguladoras do processo tributário administrativo;</w:t>
      </w:r>
    </w:p>
    <w:p w:rsidR="00851DFC" w:rsidRPr="00851DFC" w:rsidRDefault="00851DFC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  <w:r w:rsidRPr="00851DFC">
        <w:rPr>
          <w:rFonts w:ascii="Arial" w:hAnsi="Arial" w:cs="Arial"/>
          <w:color w:val="000000"/>
          <w:shd w:val="clear" w:color="auto" w:fill="FFFFFF"/>
        </w:rPr>
        <w:t>  </w:t>
      </w:r>
      <w:bookmarkStart w:id="3" w:name="art151iv"/>
      <w:bookmarkEnd w:id="3"/>
      <w:r w:rsidRPr="00851DFC">
        <w:rPr>
          <w:rFonts w:ascii="Arial" w:hAnsi="Arial" w:cs="Arial"/>
          <w:color w:val="000000"/>
          <w:shd w:val="clear" w:color="auto" w:fill="FFFFFF"/>
        </w:rPr>
        <w:t>IV - a concessão de medida liminar em mandado de segurança.</w:t>
      </w:r>
    </w:p>
    <w:p w:rsidR="00851DFC" w:rsidRPr="00851DFC" w:rsidRDefault="00851DFC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  <w:r w:rsidRPr="00851DFC">
        <w:rPr>
          <w:rFonts w:ascii="Arial" w:hAnsi="Arial" w:cs="Arial"/>
          <w:color w:val="000000"/>
          <w:shd w:val="clear" w:color="auto" w:fill="FFFFFF"/>
        </w:rPr>
        <w:t>  </w:t>
      </w:r>
      <w:bookmarkStart w:id="4" w:name="art151v"/>
      <w:bookmarkEnd w:id="4"/>
      <w:r w:rsidRPr="00851DFC">
        <w:rPr>
          <w:rFonts w:ascii="Arial" w:hAnsi="Arial" w:cs="Arial"/>
          <w:color w:val="000000"/>
          <w:shd w:val="clear" w:color="auto" w:fill="FFFFFF"/>
        </w:rPr>
        <w:t>V – a concessão de medida liminar ou de tutela antecipada, em outras espécies de ação judicial; </w:t>
      </w:r>
      <w:hyperlink r:id="rId6" w:history="1">
        <w:r w:rsidRPr="00851DFC">
          <w:rPr>
            <w:rFonts w:ascii="Arial" w:hAnsi="Arial" w:cs="Arial"/>
            <w:color w:val="000000"/>
            <w:shd w:val="clear" w:color="auto" w:fill="FFFFFF"/>
          </w:rPr>
          <w:t xml:space="preserve">(Incluído pela </w:t>
        </w:r>
        <w:proofErr w:type="spellStart"/>
        <w:r w:rsidRPr="00851DFC">
          <w:rPr>
            <w:rFonts w:ascii="Arial" w:hAnsi="Arial" w:cs="Arial"/>
            <w:color w:val="000000"/>
            <w:shd w:val="clear" w:color="auto" w:fill="FFFFFF"/>
          </w:rPr>
          <w:t>Lcp</w:t>
        </w:r>
        <w:proofErr w:type="spellEnd"/>
        <w:r w:rsidRPr="00851DFC">
          <w:rPr>
            <w:rFonts w:ascii="Arial" w:hAnsi="Arial" w:cs="Arial"/>
            <w:color w:val="000000"/>
            <w:shd w:val="clear" w:color="auto" w:fill="FFFFFF"/>
          </w:rPr>
          <w:t xml:space="preserve"> nº 104, de 2001)</w:t>
        </w:r>
      </w:hyperlink>
      <w:r w:rsidRPr="00851DFC">
        <w:rPr>
          <w:rFonts w:ascii="Arial" w:hAnsi="Arial" w:cs="Arial"/>
          <w:color w:val="000000"/>
          <w:shd w:val="clear" w:color="auto" w:fill="FFFFFF"/>
        </w:rPr>
        <w:t>   </w:t>
      </w:r>
      <w:proofErr w:type="gramStart"/>
      <w:r w:rsidRPr="00851DFC">
        <w:rPr>
          <w:rFonts w:ascii="Arial" w:hAnsi="Arial" w:cs="Arial"/>
          <w:color w:val="000000"/>
          <w:shd w:val="clear" w:color="auto" w:fill="FFFFFF"/>
        </w:rPr>
        <w:t> </w:t>
      </w:r>
    </w:p>
    <w:p w:rsidR="00851DFC" w:rsidRPr="00851DFC" w:rsidRDefault="00851DFC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  <w:proofErr w:type="gramEnd"/>
      <w:r w:rsidRPr="00851DFC">
        <w:rPr>
          <w:rFonts w:ascii="Arial" w:hAnsi="Arial" w:cs="Arial"/>
          <w:color w:val="000000"/>
          <w:shd w:val="clear" w:color="auto" w:fill="FFFFFF"/>
        </w:rPr>
        <w:t>  </w:t>
      </w:r>
      <w:bookmarkStart w:id="5" w:name="art151vi"/>
      <w:bookmarkEnd w:id="5"/>
      <w:r w:rsidRPr="00851DFC">
        <w:rPr>
          <w:rFonts w:ascii="Arial" w:hAnsi="Arial" w:cs="Arial"/>
          <w:color w:val="000000"/>
          <w:shd w:val="clear" w:color="auto" w:fill="FFFFFF"/>
        </w:rPr>
        <w:t>VI – o parcelamento. </w:t>
      </w:r>
      <w:hyperlink r:id="rId7" w:history="1">
        <w:r w:rsidRPr="00851DFC">
          <w:rPr>
            <w:rFonts w:ascii="Arial" w:hAnsi="Arial" w:cs="Arial"/>
            <w:color w:val="000000"/>
            <w:shd w:val="clear" w:color="auto" w:fill="FFFFFF"/>
          </w:rPr>
          <w:t xml:space="preserve">(Incluído pela </w:t>
        </w:r>
        <w:proofErr w:type="spellStart"/>
        <w:r w:rsidRPr="00851DFC">
          <w:rPr>
            <w:rFonts w:ascii="Arial" w:hAnsi="Arial" w:cs="Arial"/>
            <w:color w:val="000000"/>
            <w:shd w:val="clear" w:color="auto" w:fill="FFFFFF"/>
          </w:rPr>
          <w:t>Lcp</w:t>
        </w:r>
        <w:proofErr w:type="spellEnd"/>
        <w:r w:rsidRPr="00851DFC">
          <w:rPr>
            <w:rFonts w:ascii="Arial" w:hAnsi="Arial" w:cs="Arial"/>
            <w:color w:val="000000"/>
            <w:shd w:val="clear" w:color="auto" w:fill="FFFFFF"/>
          </w:rPr>
          <w:t xml:space="preserve"> nº 104, de 2001)</w:t>
        </w:r>
      </w:hyperlink>
      <w:r w:rsidRPr="00851DFC">
        <w:rPr>
          <w:rFonts w:ascii="Arial" w:hAnsi="Arial" w:cs="Arial"/>
          <w:color w:val="000000"/>
          <w:shd w:val="clear" w:color="auto" w:fill="FFFFFF"/>
        </w:rPr>
        <w:t> </w:t>
      </w:r>
      <w:proofErr w:type="gramStart"/>
      <w:r w:rsidRPr="00851DFC">
        <w:rPr>
          <w:rFonts w:ascii="Arial" w:hAnsi="Arial" w:cs="Arial"/>
          <w:color w:val="000000"/>
          <w:shd w:val="clear" w:color="auto" w:fill="FFFFFF"/>
        </w:rPr>
        <w:t> </w:t>
      </w:r>
    </w:p>
    <w:p w:rsidR="00851DFC" w:rsidRDefault="00851DFC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  <w:proofErr w:type="gramEnd"/>
      <w:r w:rsidRPr="00851DFC">
        <w:rPr>
          <w:rFonts w:ascii="Arial" w:hAnsi="Arial" w:cs="Arial"/>
          <w:color w:val="000000"/>
          <w:shd w:val="clear" w:color="auto" w:fill="FFFFFF"/>
        </w:rPr>
        <w:lastRenderedPageBreak/>
        <w:t>  </w:t>
      </w:r>
      <w:bookmarkStart w:id="6" w:name="art151p"/>
      <w:bookmarkEnd w:id="6"/>
      <w:r w:rsidRPr="00851DFC">
        <w:rPr>
          <w:rFonts w:ascii="Arial" w:hAnsi="Arial" w:cs="Arial"/>
          <w:color w:val="000000"/>
          <w:shd w:val="clear" w:color="auto" w:fill="FFFFFF"/>
        </w:rPr>
        <w:t xml:space="preserve">Parágrafo único. </w:t>
      </w:r>
      <w:proofErr w:type="gramStart"/>
      <w:r w:rsidRPr="00851DFC">
        <w:rPr>
          <w:rFonts w:ascii="Arial" w:hAnsi="Arial" w:cs="Arial"/>
          <w:color w:val="000000"/>
          <w:shd w:val="clear" w:color="auto" w:fill="FFFFFF"/>
        </w:rPr>
        <w:t xml:space="preserve">O disposto neste artigo não dispensa o cumprimento das obrigações assessórios dependentes da obrigação principal cujo crédito seja suspenso, ou dela </w:t>
      </w:r>
      <w:proofErr w:type="spellStart"/>
      <w:r w:rsidRPr="00851DFC">
        <w:rPr>
          <w:rFonts w:ascii="Arial" w:hAnsi="Arial" w:cs="Arial"/>
          <w:color w:val="000000"/>
          <w:shd w:val="clear" w:color="auto" w:fill="FFFFFF"/>
        </w:rPr>
        <w:t>conseqüentes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”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.</w:t>
      </w:r>
    </w:p>
    <w:p w:rsidR="00F502E7" w:rsidRDefault="00F502E7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502E7" w:rsidRDefault="00F502E7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502E7" w:rsidRDefault="00F502E7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502E7" w:rsidRDefault="00F502E7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502E7" w:rsidRDefault="00F502E7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502E7" w:rsidRDefault="00F502E7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502E7" w:rsidRDefault="00F502E7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502E7" w:rsidRDefault="00F502E7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502E7" w:rsidRDefault="00F502E7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502E7" w:rsidRDefault="00F502E7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502E7" w:rsidRDefault="00F502E7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502E7" w:rsidRDefault="00F502E7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502E7" w:rsidRDefault="00F502E7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502E7" w:rsidRDefault="00F502E7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502E7" w:rsidRDefault="00F502E7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502E7" w:rsidRDefault="00F502E7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502E7" w:rsidRDefault="00F502E7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502E7" w:rsidRDefault="00F502E7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502E7" w:rsidRDefault="00F502E7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502E7" w:rsidRDefault="00F502E7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502E7" w:rsidRDefault="00F502E7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502E7" w:rsidRDefault="00F502E7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502E7" w:rsidRDefault="00F502E7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502E7" w:rsidRDefault="00F502E7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502E7" w:rsidRDefault="00F502E7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502E7" w:rsidRDefault="00F502E7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502E7" w:rsidRPr="00F502E7" w:rsidRDefault="00F502E7" w:rsidP="00F502E7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F502E7">
        <w:rPr>
          <w:sz w:val="24"/>
          <w:szCs w:val="24"/>
        </w:rPr>
        <w:lastRenderedPageBreak/>
        <w:t>Considerando a presunção de legitimidade dos atos administrativos, o ônus da prova compete sempre aos contribuintes? Até que momento o contribuinte (recorrente) pode juntar aos autos provas documentais? (</w:t>
      </w:r>
      <w:proofErr w:type="gramStart"/>
      <w:r w:rsidRPr="00F502E7">
        <w:rPr>
          <w:sz w:val="24"/>
          <w:szCs w:val="24"/>
        </w:rPr>
        <w:t>Vide anexo</w:t>
      </w:r>
      <w:proofErr w:type="gramEnd"/>
      <w:r w:rsidRPr="00F502E7">
        <w:rPr>
          <w:sz w:val="24"/>
          <w:szCs w:val="24"/>
        </w:rPr>
        <w:t xml:space="preserve"> IV).</w:t>
      </w:r>
    </w:p>
    <w:p w:rsidR="00134435" w:rsidRDefault="00F502E7" w:rsidP="00F502E7">
      <w:pPr>
        <w:pStyle w:val="PargrafodaLista"/>
        <w:jc w:val="both"/>
      </w:pPr>
      <w:r>
        <w:t>R.</w:t>
      </w:r>
      <w:r w:rsidR="00134435">
        <w:t xml:space="preserve"> Não, pelo principio do devido processo legal e do principio da </w:t>
      </w:r>
      <w:proofErr w:type="spellStart"/>
      <w:r w:rsidR="00134435">
        <w:t>contraprodução</w:t>
      </w:r>
      <w:proofErr w:type="spellEnd"/>
      <w:r w:rsidR="00134435">
        <w:t xml:space="preserve"> no processo administrativo, a  administração, produzirá provas para </w:t>
      </w:r>
      <w:proofErr w:type="spellStart"/>
      <w:r w:rsidR="00134435">
        <w:t>sí</w:t>
      </w:r>
      <w:proofErr w:type="spellEnd"/>
      <w:r w:rsidR="00134435">
        <w:t>, como para o administrado.</w:t>
      </w:r>
    </w:p>
    <w:p w:rsidR="002E1325" w:rsidRDefault="00134435" w:rsidP="00F502E7">
      <w:pPr>
        <w:pStyle w:val="PargrafodaLista"/>
        <w:jc w:val="both"/>
      </w:pPr>
      <w:r>
        <w:t>O Recorrente pode junta</w:t>
      </w:r>
      <w:r w:rsidR="00815FD9">
        <w:t xml:space="preserve">r </w:t>
      </w:r>
      <w:r>
        <w:t>prova</w:t>
      </w:r>
      <w:r w:rsidR="00815FD9">
        <w:t>s</w:t>
      </w:r>
      <w:r>
        <w:t xml:space="preserve"> documentais </w:t>
      </w:r>
      <w:r w:rsidR="00815FD9">
        <w:t>no processo administrativo até a fase,  em que  a administração não tenha exarado decisão definitiva sobre o conteúdo da questão em tela,  em não considera</w:t>
      </w:r>
      <w:r w:rsidR="00EA35B8">
        <w:t>n</w:t>
      </w:r>
      <w:r w:rsidR="00815FD9">
        <w:t xml:space="preserve">do </w:t>
      </w:r>
      <w:r w:rsidR="00EA35B8">
        <w:t xml:space="preserve">as </w:t>
      </w:r>
      <w:r w:rsidR="00815FD9">
        <w:t>prova</w:t>
      </w:r>
      <w:r w:rsidR="00EA35B8">
        <w:t>s</w:t>
      </w:r>
      <w:r w:rsidR="00815FD9">
        <w:t xml:space="preserve"> acostadas </w:t>
      </w:r>
      <w:r w:rsidR="00EA35B8">
        <w:t>no processo administrativo</w:t>
      </w:r>
      <w:r w:rsidR="00815FD9">
        <w:t xml:space="preserve">, poderá  </w:t>
      </w:r>
      <w:proofErr w:type="spellStart"/>
      <w:r w:rsidR="00815FD9">
        <w:t>o</w:t>
      </w:r>
      <w:proofErr w:type="spellEnd"/>
      <w:r w:rsidR="00815FD9">
        <w:t xml:space="preserve"> administrado alegar nulidade do processo administrativo na esfera judicial, tendo como fundamento o  cerceamento do direito de </w:t>
      </w:r>
      <w:proofErr w:type="gramStart"/>
      <w:r w:rsidR="00815FD9">
        <w:t>defesa .</w:t>
      </w:r>
      <w:proofErr w:type="gramEnd"/>
      <w:r w:rsidR="00815FD9">
        <w:t xml:space="preserve"> </w:t>
      </w:r>
    </w:p>
    <w:p w:rsidR="002E1325" w:rsidRDefault="002E1325" w:rsidP="00F502E7">
      <w:pPr>
        <w:pStyle w:val="PargrafodaLista"/>
        <w:jc w:val="both"/>
      </w:pPr>
    </w:p>
    <w:p w:rsidR="002E1325" w:rsidRDefault="002E1325" w:rsidP="00F502E7">
      <w:pPr>
        <w:pStyle w:val="PargrafodaLista"/>
        <w:jc w:val="both"/>
      </w:pPr>
    </w:p>
    <w:p w:rsidR="002E1325" w:rsidRDefault="002E1325" w:rsidP="00F502E7">
      <w:pPr>
        <w:pStyle w:val="PargrafodaLista"/>
        <w:jc w:val="both"/>
      </w:pPr>
    </w:p>
    <w:p w:rsidR="00F502E7" w:rsidRDefault="002E1325" w:rsidP="00F502E7">
      <w:pPr>
        <w:pStyle w:val="PargrafodaLista"/>
        <w:numPr>
          <w:ilvl w:val="0"/>
          <w:numId w:val="2"/>
        </w:numPr>
        <w:jc w:val="both"/>
      </w:pPr>
      <w:r>
        <w:t xml:space="preserve">Os tribunais administrativos </w:t>
      </w:r>
      <w:proofErr w:type="gramStart"/>
      <w:r>
        <w:t>exercem ´</w:t>
      </w:r>
      <w:proofErr w:type="gramEnd"/>
      <w:r>
        <w:t xml:space="preserve">´jurisdição´´.  Justifique sua resposta, </w:t>
      </w:r>
      <w:proofErr w:type="gramStart"/>
      <w:r>
        <w:t>definindo ´</w:t>
      </w:r>
      <w:proofErr w:type="gramEnd"/>
      <w:r>
        <w:t>´jurisdição´´.  Podem, no ato de julgar, afastar a aplicação de lei sob a alegação de sua incompatibilidade com a Constituição?</w:t>
      </w:r>
      <w:r>
        <w:t xml:space="preserve"> </w:t>
      </w:r>
      <w:r w:rsidRPr="002E1325">
        <w:rPr>
          <w:color w:val="FF0000"/>
        </w:rPr>
        <w:t xml:space="preserve">Não o </w:t>
      </w:r>
      <w:proofErr w:type="spellStart"/>
      <w:r w:rsidRPr="002E1325">
        <w:rPr>
          <w:color w:val="FF0000"/>
        </w:rPr>
        <w:t>Carf</w:t>
      </w:r>
      <w:proofErr w:type="spellEnd"/>
      <w:r w:rsidRPr="002E1325">
        <w:rPr>
          <w:color w:val="FF0000"/>
        </w:rPr>
        <w:t xml:space="preserve"> não é competente para se pronunciar sobre a inconstitucionalidade de Lei tributária de acordo com o anexo</w:t>
      </w:r>
      <w:r>
        <w:rPr>
          <w:color w:val="FF0000"/>
        </w:rPr>
        <w:t xml:space="preserve"> V, da Súmula 2 do CARF.</w:t>
      </w:r>
      <w:r w:rsidRPr="002E1325">
        <w:rPr>
          <w:color w:val="FF0000"/>
        </w:rPr>
        <w:t xml:space="preserve"> </w:t>
      </w:r>
      <w:r w:rsidRPr="002E1325">
        <w:rPr>
          <w:color w:val="FF0000"/>
        </w:rPr>
        <w:t xml:space="preserve"> </w:t>
      </w:r>
      <w:r>
        <w:t>Pode a decisão administrativa inovar o efeito, agravando o lançamento por ocasião do julgamento da defesa do contribuinte? (</w:t>
      </w:r>
      <w:proofErr w:type="gramStart"/>
      <w:r>
        <w:t>Vide anexos</w:t>
      </w:r>
      <w:proofErr w:type="gramEnd"/>
      <w:r>
        <w:t xml:space="preserve"> V e VI).</w:t>
      </w:r>
    </w:p>
    <w:p w:rsidR="000B1DD6" w:rsidRDefault="000B1DD6" w:rsidP="00F502E7">
      <w:pPr>
        <w:pStyle w:val="PargrafodaLista"/>
        <w:numPr>
          <w:ilvl w:val="0"/>
          <w:numId w:val="2"/>
        </w:numPr>
        <w:jc w:val="both"/>
      </w:pPr>
      <w:bookmarkStart w:id="7" w:name="_GoBack"/>
      <w:bookmarkEnd w:id="7"/>
    </w:p>
    <w:p w:rsidR="000B1DD6" w:rsidRDefault="000B1DD6" w:rsidP="00F502E7">
      <w:pPr>
        <w:pStyle w:val="PargrafodaLista"/>
        <w:numPr>
          <w:ilvl w:val="0"/>
          <w:numId w:val="2"/>
        </w:numPr>
        <w:jc w:val="both"/>
      </w:pPr>
      <w:r>
        <w:t>RR</w:t>
      </w:r>
    </w:p>
    <w:p w:rsidR="000B1DD6" w:rsidRDefault="000B1DD6" w:rsidP="00F502E7">
      <w:pPr>
        <w:pStyle w:val="PargrafodaLista"/>
        <w:numPr>
          <w:ilvl w:val="0"/>
          <w:numId w:val="2"/>
        </w:numPr>
        <w:jc w:val="both"/>
      </w:pPr>
    </w:p>
    <w:p w:rsidR="000B1DD6" w:rsidRDefault="000B1DD6" w:rsidP="000B1DD6">
      <w:pPr>
        <w:jc w:val="both"/>
      </w:pPr>
    </w:p>
    <w:p w:rsidR="00F502E7" w:rsidRDefault="00F502E7" w:rsidP="00F502E7">
      <w:pPr>
        <w:jc w:val="both"/>
      </w:pPr>
    </w:p>
    <w:p w:rsidR="00F502E7" w:rsidRDefault="00F502E7" w:rsidP="00F502E7">
      <w:pPr>
        <w:jc w:val="both"/>
      </w:pPr>
    </w:p>
    <w:p w:rsidR="00F502E7" w:rsidRDefault="00F502E7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502E7" w:rsidRPr="00851DFC" w:rsidRDefault="00F502E7" w:rsidP="00851DFC">
      <w:pPr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</w:p>
    <w:p w:rsidR="00851DFC" w:rsidRPr="00C84305" w:rsidRDefault="00851DFC" w:rsidP="00851DFC">
      <w:pPr>
        <w:ind w:left="2832"/>
        <w:jc w:val="both"/>
        <w:rPr>
          <w:sz w:val="28"/>
          <w:szCs w:val="28"/>
        </w:rPr>
      </w:pPr>
    </w:p>
    <w:p w:rsidR="00032C58" w:rsidRDefault="00032C58" w:rsidP="00CF1693"/>
    <w:p w:rsidR="00032C58" w:rsidRDefault="00032C58" w:rsidP="00CF1693"/>
    <w:sectPr w:rsidR="00032C58" w:rsidSect="00DC7C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77AFF"/>
    <w:multiLevelType w:val="hybridMultilevel"/>
    <w:tmpl w:val="62D60C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766C7"/>
    <w:multiLevelType w:val="hybridMultilevel"/>
    <w:tmpl w:val="FC2E0A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8B"/>
    <w:rsid w:val="00032C58"/>
    <w:rsid w:val="000B1DD6"/>
    <w:rsid w:val="000E66D8"/>
    <w:rsid w:val="00134435"/>
    <w:rsid w:val="002E1325"/>
    <w:rsid w:val="00322E8B"/>
    <w:rsid w:val="003B0D1D"/>
    <w:rsid w:val="00815FD9"/>
    <w:rsid w:val="00846824"/>
    <w:rsid w:val="00851DFC"/>
    <w:rsid w:val="0086474C"/>
    <w:rsid w:val="00867118"/>
    <w:rsid w:val="00A94831"/>
    <w:rsid w:val="00BC61ED"/>
    <w:rsid w:val="00C84305"/>
    <w:rsid w:val="00CF1693"/>
    <w:rsid w:val="00DA60AD"/>
    <w:rsid w:val="00DC7C19"/>
    <w:rsid w:val="00EA35B8"/>
    <w:rsid w:val="00F5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2E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1DFC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51D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2E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1DFC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51D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lanalto.gov.br/ccivil_03/leis/LCP/Lcp10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nalto.gov.br/ccivil_03/leis/LCP/Lcp104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785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AgilTec</Company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crislaine</dc:creator>
  <cp:lastModifiedBy>reinaldo</cp:lastModifiedBy>
  <cp:revision>2</cp:revision>
  <cp:lastPrinted>2015-08-14T00:45:00Z</cp:lastPrinted>
  <dcterms:created xsi:type="dcterms:W3CDTF">2015-08-14T00:53:00Z</dcterms:created>
  <dcterms:modified xsi:type="dcterms:W3CDTF">2015-08-14T00:53:00Z</dcterms:modified>
</cp:coreProperties>
</file>