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EC" w:rsidRPr="003D37EC" w:rsidRDefault="003D37EC" w:rsidP="003D37EC">
      <w:pPr>
        <w:spacing w:line="288" w:lineRule="auto"/>
        <w:jc w:val="center"/>
        <w:rPr>
          <w:rFonts w:ascii="Trebuchet MS" w:eastAsia="Times New Roman" w:hAnsi="Trebuchet MS" w:cs="Times New Roman"/>
          <w:color w:val="FF0000"/>
          <w:sz w:val="24"/>
          <w:szCs w:val="24"/>
          <w:u w:val="single"/>
          <w:lang w:eastAsia="pt-BR"/>
        </w:rPr>
      </w:pPr>
      <w:bookmarkStart w:id="0" w:name="conceitoeaimportância"/>
      <w:r w:rsidRPr="003D37EC">
        <w:rPr>
          <w:rFonts w:ascii="Trebuchet MS" w:eastAsia="Times New Roman" w:hAnsi="Trebuchet MS" w:cs="Times New Roman"/>
          <w:b/>
          <w:bCs/>
          <w:caps/>
          <w:color w:val="FF0000"/>
          <w:sz w:val="27"/>
          <w:u w:val="single"/>
          <w:lang w:eastAsia="pt-BR"/>
        </w:rPr>
        <w:t>Regime Tributário</w:t>
      </w:r>
      <w:bookmarkEnd w:id="0"/>
      <w:r w:rsidRPr="003D37EC">
        <w:rPr>
          <w:rFonts w:ascii="Trebuchet MS" w:eastAsia="Times New Roman" w:hAnsi="Trebuchet MS" w:cs="Times New Roman"/>
          <w:b/>
          <w:bCs/>
          <w:caps/>
          <w:color w:val="FF0000"/>
          <w:sz w:val="27"/>
          <w:u w:val="single"/>
          <w:lang w:eastAsia="pt-BR"/>
        </w:rPr>
        <w:t xml:space="preserve"> </w:t>
      </w:r>
      <w:proofErr w:type="gramStart"/>
      <w:r w:rsidRPr="003D37EC">
        <w:rPr>
          <w:rFonts w:ascii="Trebuchet MS" w:eastAsia="Times New Roman" w:hAnsi="Trebuchet MS" w:cs="Times New Roman"/>
          <w:b/>
          <w:bCs/>
          <w:caps/>
          <w:color w:val="FF0000"/>
          <w:sz w:val="27"/>
          <w:u w:val="single"/>
          <w:lang w:eastAsia="pt-BR"/>
        </w:rPr>
        <w:t>da Holding</w:t>
      </w:r>
      <w:proofErr w:type="gramEnd"/>
      <w:r w:rsidRPr="003D37EC">
        <w:rPr>
          <w:rFonts w:ascii="Trebuchet MS" w:eastAsia="Times New Roman" w:hAnsi="Trebuchet MS" w:cs="Times New Roman"/>
          <w:b/>
          <w:bCs/>
          <w:caps/>
          <w:color w:val="FF0000"/>
          <w:sz w:val="27"/>
          <w:u w:val="single"/>
          <w:lang w:eastAsia="pt-BR"/>
        </w:rPr>
        <w:t>:</w:t>
      </w:r>
    </w:p>
    <w:p w:rsidR="003D37EC" w:rsidRPr="003D37EC" w:rsidRDefault="003D37EC" w:rsidP="003D37EC">
      <w:pPr>
        <w:spacing w:before="100" w:beforeAutospacing="1" w:after="100" w:afterAutospacing="1" w:line="240" w:lineRule="auto"/>
        <w:jc w:val="both"/>
        <w:rPr>
          <w:rFonts w:ascii="Arial" w:eastAsia="Times New Roman" w:hAnsi="Arial" w:cs="Arial"/>
          <w:sz w:val="32"/>
          <w:szCs w:val="24"/>
          <w:lang w:eastAsia="pt-BR"/>
        </w:rPr>
      </w:pPr>
      <w:r w:rsidRPr="003D37EC">
        <w:rPr>
          <w:rFonts w:ascii="Arial" w:eastAsia="Times New Roman" w:hAnsi="Arial" w:cs="Arial"/>
          <w:b/>
          <w:bCs/>
          <w:sz w:val="24"/>
          <w:szCs w:val="20"/>
          <w:lang w:eastAsia="pt-BR"/>
        </w:rPr>
        <w:t xml:space="preserve">Integralização de capital em bens por </w:t>
      </w:r>
      <w:proofErr w:type="gramStart"/>
      <w:r w:rsidRPr="003D37EC">
        <w:rPr>
          <w:rFonts w:ascii="Arial" w:eastAsia="Times New Roman" w:hAnsi="Arial" w:cs="Arial"/>
          <w:b/>
          <w:bCs/>
          <w:sz w:val="24"/>
          <w:szCs w:val="20"/>
          <w:lang w:eastAsia="pt-BR"/>
        </w:rPr>
        <w:t>sócio ou acionista pessoa</w:t>
      </w:r>
      <w:proofErr w:type="gramEnd"/>
      <w:r w:rsidRPr="003D37EC">
        <w:rPr>
          <w:rFonts w:ascii="Arial" w:eastAsia="Times New Roman" w:hAnsi="Arial" w:cs="Arial"/>
          <w:b/>
          <w:bCs/>
          <w:sz w:val="24"/>
          <w:szCs w:val="20"/>
          <w:lang w:eastAsia="pt-BR"/>
        </w:rPr>
        <w:t xml:space="preserve"> física:</w:t>
      </w:r>
    </w:p>
    <w:p w:rsidR="003D37EC" w:rsidRPr="003D37EC" w:rsidRDefault="003D37EC" w:rsidP="003D37EC">
      <w:pPr>
        <w:spacing w:before="100" w:beforeAutospacing="1" w:after="100" w:afterAutospacing="1" w:line="240" w:lineRule="auto"/>
        <w:jc w:val="both"/>
        <w:rPr>
          <w:rFonts w:ascii="Arial" w:eastAsia="Times New Roman" w:hAnsi="Arial" w:cs="Arial"/>
          <w:sz w:val="24"/>
          <w:szCs w:val="20"/>
          <w:lang w:eastAsia="pt-BR"/>
        </w:rPr>
      </w:pPr>
      <w:r w:rsidRPr="003D37EC">
        <w:rPr>
          <w:rFonts w:ascii="Arial" w:eastAsia="Times New Roman" w:hAnsi="Arial" w:cs="Arial"/>
          <w:sz w:val="24"/>
          <w:szCs w:val="20"/>
          <w:lang w:eastAsia="pt-BR"/>
        </w:rPr>
        <w:t>É permitido às pessoas físicas transferir a pessoas jurídicas, a título de integralização de capital, bens e direitos pelo valor constante da Declaração de Bens ou pelo valor de mercado, observando-se o seguinte:</w:t>
      </w:r>
    </w:p>
    <w:p w:rsidR="003D37EC" w:rsidRDefault="003D37EC" w:rsidP="003D37EC">
      <w:pPr>
        <w:spacing w:before="100" w:beforeAutospacing="1" w:after="100" w:afterAutospacing="1" w:line="240" w:lineRule="auto"/>
        <w:jc w:val="both"/>
        <w:rPr>
          <w:rFonts w:ascii="Arial" w:eastAsia="Times New Roman" w:hAnsi="Arial" w:cs="Arial"/>
          <w:sz w:val="24"/>
          <w:szCs w:val="20"/>
          <w:lang w:eastAsia="pt-BR"/>
        </w:rPr>
      </w:pPr>
      <w:r w:rsidRPr="003D37EC">
        <w:rPr>
          <w:rFonts w:ascii="Arial" w:eastAsia="Times New Roman" w:hAnsi="Arial" w:cs="Arial"/>
          <w:sz w:val="24"/>
          <w:szCs w:val="20"/>
          <w:lang w:eastAsia="pt-BR"/>
        </w:rPr>
        <w:t>a) Se a entrega for feita pelo valor constante da Declaração de Bens, a pessoa física deverá lançar nesta declaração as ações ou quotas subscritas pelo mesmo valor dos bens ou direitos transferidos, não se lhes aplicando as regras de distribuição disfarçada de lucros;</w:t>
      </w:r>
    </w:p>
    <w:p w:rsidR="003D37EC" w:rsidRPr="003D37EC" w:rsidRDefault="003D37EC" w:rsidP="003D37EC">
      <w:pPr>
        <w:spacing w:before="100" w:beforeAutospacing="1" w:after="100" w:afterAutospacing="1" w:line="240" w:lineRule="auto"/>
        <w:jc w:val="both"/>
        <w:rPr>
          <w:rFonts w:ascii="Arial" w:eastAsia="Times New Roman" w:hAnsi="Arial" w:cs="Arial"/>
          <w:color w:val="FF0000"/>
          <w:sz w:val="32"/>
          <w:szCs w:val="24"/>
          <w:lang w:eastAsia="pt-BR"/>
        </w:rPr>
      </w:pPr>
      <w:r w:rsidRPr="003D37EC">
        <w:rPr>
          <w:rFonts w:ascii="Arial" w:eastAsia="Times New Roman" w:hAnsi="Arial" w:cs="Arial"/>
          <w:color w:val="FF0000"/>
          <w:sz w:val="24"/>
          <w:szCs w:val="20"/>
          <w:lang w:eastAsia="pt-BR"/>
        </w:rPr>
        <w:t>b) Se a transferência não se fizer pelo valor constante da Declaração de Bens, a diferença a maior será tributável como ganho de capital.</w:t>
      </w:r>
    </w:p>
    <w:p w:rsidR="003D37EC" w:rsidRPr="003D37EC" w:rsidRDefault="003D37EC" w:rsidP="003D37EC">
      <w:pPr>
        <w:spacing w:after="0" w:line="288" w:lineRule="auto"/>
        <w:jc w:val="both"/>
        <w:rPr>
          <w:rFonts w:ascii="Arial" w:eastAsia="Times New Roman" w:hAnsi="Arial" w:cs="Arial"/>
          <w:b/>
          <w:bCs/>
          <w:sz w:val="24"/>
          <w:szCs w:val="24"/>
          <w:lang w:eastAsia="pt-BR"/>
        </w:rPr>
      </w:pPr>
      <w:r w:rsidRPr="003D37EC">
        <w:rPr>
          <w:rFonts w:ascii="Arial" w:eastAsia="Times New Roman" w:hAnsi="Arial" w:cs="Arial"/>
          <w:b/>
          <w:bCs/>
          <w:sz w:val="24"/>
          <w:szCs w:val="24"/>
          <w:lang w:eastAsia="pt-BR"/>
        </w:rPr>
        <w:t>Imposto de Renda:</w:t>
      </w:r>
    </w:p>
    <w:p w:rsidR="003D37EC" w:rsidRPr="003D37EC" w:rsidRDefault="003D37EC" w:rsidP="003D37EC">
      <w:pPr>
        <w:spacing w:after="0" w:line="288" w:lineRule="auto"/>
        <w:jc w:val="both"/>
        <w:rPr>
          <w:rFonts w:ascii="Arial" w:eastAsia="Times New Roman" w:hAnsi="Arial" w:cs="Arial"/>
          <w:b/>
          <w:bCs/>
          <w:sz w:val="24"/>
          <w:szCs w:val="24"/>
          <w:lang w:eastAsia="pt-BR"/>
        </w:rPr>
      </w:pPr>
    </w:p>
    <w:p w:rsidR="003D37EC" w:rsidRPr="003D37EC" w:rsidRDefault="003D37EC" w:rsidP="003D37EC">
      <w:pPr>
        <w:spacing w:after="0" w:line="288" w:lineRule="auto"/>
        <w:jc w:val="both"/>
        <w:rPr>
          <w:rFonts w:ascii="Arial" w:eastAsia="Times New Roman" w:hAnsi="Arial" w:cs="Arial"/>
          <w:b/>
          <w:bCs/>
          <w:sz w:val="24"/>
          <w:szCs w:val="24"/>
          <w:lang w:eastAsia="pt-BR"/>
        </w:rPr>
      </w:pPr>
      <w:r w:rsidRPr="003D37EC">
        <w:rPr>
          <w:rFonts w:ascii="Arial" w:eastAsia="Times New Roman" w:hAnsi="Arial" w:cs="Arial"/>
          <w:b/>
          <w:bCs/>
          <w:sz w:val="24"/>
          <w:szCs w:val="24"/>
          <w:lang w:eastAsia="pt-BR"/>
        </w:rPr>
        <w:t xml:space="preserve">Aluguéis recebidos </w:t>
      </w:r>
      <w:proofErr w:type="gramStart"/>
      <w:r w:rsidRPr="003D37EC">
        <w:rPr>
          <w:rFonts w:ascii="Arial" w:eastAsia="Times New Roman" w:hAnsi="Arial" w:cs="Arial"/>
          <w:b/>
          <w:bCs/>
          <w:sz w:val="24"/>
          <w:szCs w:val="24"/>
          <w:lang w:eastAsia="pt-BR"/>
        </w:rPr>
        <w:t>pela holding</w:t>
      </w:r>
      <w:proofErr w:type="gramEnd"/>
      <w:r w:rsidRPr="003D37EC">
        <w:rPr>
          <w:rFonts w:ascii="Arial" w:eastAsia="Times New Roman" w:hAnsi="Arial" w:cs="Arial"/>
          <w:b/>
          <w:bCs/>
          <w:sz w:val="24"/>
          <w:szCs w:val="24"/>
          <w:lang w:eastAsia="pt-BR"/>
        </w:rPr>
        <w:t xml:space="preserve"> familiar:</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As receitas de aluguel auferidas </w:t>
      </w:r>
      <w:proofErr w:type="gramStart"/>
      <w:r w:rsidRPr="003D37EC">
        <w:rPr>
          <w:rFonts w:ascii="Arial" w:eastAsia="Times New Roman" w:hAnsi="Arial" w:cs="Arial"/>
          <w:bCs/>
          <w:sz w:val="24"/>
          <w:szCs w:val="24"/>
          <w:lang w:eastAsia="pt-BR"/>
        </w:rPr>
        <w:t>pela holding</w:t>
      </w:r>
      <w:proofErr w:type="gramEnd"/>
      <w:r w:rsidRPr="003D37EC">
        <w:rPr>
          <w:rFonts w:ascii="Arial" w:eastAsia="Times New Roman" w:hAnsi="Arial" w:cs="Arial"/>
          <w:bCs/>
          <w:sz w:val="24"/>
          <w:szCs w:val="24"/>
          <w:lang w:eastAsia="pt-BR"/>
        </w:rPr>
        <w:t xml:space="preserve"> são tributáveis normalmente pelo imposto de renda e, se a holding optar pelo pagamento mensal do imposto por estimativa ou pela apuração trimestral do imposto com base no lucro presumido, serão computados na base de cálculo: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a) 32% dos aluguéis recebidos, se a locação dos bens fizer parte do objeto social (vide nota);</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b) Os ganhos de capital e demais receitas auferidas, exceto: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    </w:t>
      </w:r>
      <w:proofErr w:type="gramStart"/>
      <w:r w:rsidRPr="003D37EC">
        <w:rPr>
          <w:rFonts w:ascii="Arial" w:eastAsia="Times New Roman" w:hAnsi="Arial" w:cs="Arial"/>
          <w:bCs/>
          <w:sz w:val="24"/>
          <w:szCs w:val="24"/>
          <w:lang w:eastAsia="pt-BR"/>
        </w:rPr>
        <w:t>b.</w:t>
      </w:r>
      <w:proofErr w:type="gramEnd"/>
      <w:r w:rsidRPr="003D37EC">
        <w:rPr>
          <w:rFonts w:ascii="Arial" w:eastAsia="Times New Roman" w:hAnsi="Arial" w:cs="Arial"/>
          <w:bCs/>
          <w:sz w:val="24"/>
          <w:szCs w:val="24"/>
          <w:lang w:eastAsia="pt-BR"/>
        </w:rPr>
        <w:t>1) em qualquer caso, os rendimentos de participações societárias, e</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    </w:t>
      </w:r>
      <w:proofErr w:type="gramStart"/>
      <w:r w:rsidRPr="003D37EC">
        <w:rPr>
          <w:rFonts w:ascii="Arial" w:eastAsia="Times New Roman" w:hAnsi="Arial" w:cs="Arial"/>
          <w:bCs/>
          <w:sz w:val="24"/>
          <w:szCs w:val="24"/>
          <w:lang w:eastAsia="pt-BR"/>
        </w:rPr>
        <w:t>b.</w:t>
      </w:r>
      <w:proofErr w:type="gramEnd"/>
      <w:r w:rsidRPr="003D37EC">
        <w:rPr>
          <w:rFonts w:ascii="Arial" w:eastAsia="Times New Roman" w:hAnsi="Arial" w:cs="Arial"/>
          <w:bCs/>
          <w:sz w:val="24"/>
          <w:szCs w:val="24"/>
          <w:lang w:eastAsia="pt-BR"/>
        </w:rPr>
        <w:t>2) no caso de opção pelo pagamento mensal do imposto por estimativa, os rendimentos de aplicações financeiras de renda fixa, submetidos ao desconto de imposto na fonte, e os ganhos líquidos de operações financeiras de renda variável, submetidos à tributação separadamente.</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    Nota: Se a locação de bens não fizer parte do objeto social </w:t>
      </w:r>
      <w:proofErr w:type="gramStart"/>
      <w:r w:rsidRPr="003D37EC">
        <w:rPr>
          <w:rFonts w:ascii="Arial" w:eastAsia="Times New Roman" w:hAnsi="Arial" w:cs="Arial"/>
          <w:bCs/>
          <w:sz w:val="24"/>
          <w:szCs w:val="24"/>
          <w:lang w:eastAsia="pt-BR"/>
        </w:rPr>
        <w:t>da holding</w:t>
      </w:r>
      <w:proofErr w:type="gramEnd"/>
      <w:r w:rsidRPr="003D37EC">
        <w:rPr>
          <w:rFonts w:ascii="Arial" w:eastAsia="Times New Roman" w:hAnsi="Arial" w:cs="Arial"/>
          <w:bCs/>
          <w:sz w:val="24"/>
          <w:szCs w:val="24"/>
          <w:lang w:eastAsia="pt-BR"/>
        </w:rPr>
        <w:t>, as receitas de aluguéis integram, por inteiro, a base de cálculo do imposto mensal determinada por estimativa, bem como a base de cálculo do imposto trimestral determinado com base no lucro presumido ou arbitrado.</w:t>
      </w:r>
    </w:p>
    <w:p w:rsidR="003D37EC" w:rsidRPr="003D37EC" w:rsidRDefault="003D37EC" w:rsidP="003D37EC">
      <w:pPr>
        <w:spacing w:after="0" w:line="288" w:lineRule="auto"/>
        <w:jc w:val="both"/>
        <w:rPr>
          <w:rFonts w:ascii="Arial" w:eastAsia="Times New Roman" w:hAnsi="Arial" w:cs="Arial"/>
          <w:b/>
          <w:bCs/>
          <w:sz w:val="24"/>
          <w:szCs w:val="24"/>
          <w:lang w:eastAsia="pt-BR"/>
        </w:rPr>
      </w:pPr>
      <w:r w:rsidRPr="003D37EC">
        <w:rPr>
          <w:rFonts w:ascii="Arial" w:eastAsia="Times New Roman" w:hAnsi="Arial" w:cs="Arial"/>
          <w:b/>
          <w:bCs/>
          <w:sz w:val="24"/>
          <w:szCs w:val="24"/>
          <w:lang w:eastAsia="pt-BR"/>
        </w:rPr>
        <w:lastRenderedPageBreak/>
        <w:t>Contribuição Social sobre o Lucro: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Caso a holding se submeta ao pagamento mensal do imposto de renda por estimativa ou pela apuração trimestral com base no lucro presumido, devem ser computados na base de cálculo da contribuição social sobre o lucro: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a) 32% dos aluguéis recebidos, quando a locação dos bens fizer parte do objeto social </w:t>
      </w:r>
      <w:proofErr w:type="gramStart"/>
      <w:r w:rsidRPr="003D37EC">
        <w:rPr>
          <w:rFonts w:ascii="Arial" w:eastAsia="Times New Roman" w:hAnsi="Arial" w:cs="Arial"/>
          <w:bCs/>
          <w:sz w:val="24"/>
          <w:szCs w:val="24"/>
          <w:lang w:eastAsia="pt-BR"/>
        </w:rPr>
        <w:t>da holding</w:t>
      </w:r>
      <w:proofErr w:type="gramEnd"/>
      <w:r w:rsidRPr="003D37EC">
        <w:rPr>
          <w:rFonts w:ascii="Arial" w:eastAsia="Times New Roman" w:hAnsi="Arial" w:cs="Arial"/>
          <w:bCs/>
          <w:sz w:val="24"/>
          <w:szCs w:val="24"/>
          <w:lang w:eastAsia="pt-BR"/>
        </w:rPr>
        <w:t xml:space="preserve"> (vide nota), e</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b) Os ganhos de capital e demais receitas auferidas, inclusive os rendimentos de aplicações financeiras de renda fixa e os ganhos líquidos de operações de renda variável.</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Nota: Se a locação de bens não fizer parte do objeto social </w:t>
      </w:r>
      <w:proofErr w:type="gramStart"/>
      <w:r w:rsidRPr="003D37EC">
        <w:rPr>
          <w:rFonts w:ascii="Arial" w:eastAsia="Times New Roman" w:hAnsi="Arial" w:cs="Arial"/>
          <w:bCs/>
          <w:sz w:val="24"/>
          <w:szCs w:val="24"/>
          <w:lang w:eastAsia="pt-BR"/>
        </w:rPr>
        <w:t>da holding</w:t>
      </w:r>
      <w:proofErr w:type="gramEnd"/>
      <w:r w:rsidRPr="003D37EC">
        <w:rPr>
          <w:rFonts w:ascii="Arial" w:eastAsia="Times New Roman" w:hAnsi="Arial" w:cs="Arial"/>
          <w:bCs/>
          <w:sz w:val="24"/>
          <w:szCs w:val="24"/>
          <w:lang w:eastAsia="pt-BR"/>
        </w:rPr>
        <w:t>, as receitas de aluguéis integram, por inteiro, a base de cálculo da contribuição mensal determinada por estimativa, bem como a base de cálculo da contribuição trimestral determinado com base no lucro presumido ou arbitrado.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
          <w:bCs/>
          <w:sz w:val="24"/>
          <w:szCs w:val="24"/>
          <w:lang w:eastAsia="pt-BR"/>
        </w:rPr>
      </w:pPr>
      <w:proofErr w:type="spellStart"/>
      <w:proofErr w:type="gramStart"/>
      <w:r w:rsidRPr="003D37EC">
        <w:rPr>
          <w:rFonts w:ascii="Arial" w:eastAsia="Times New Roman" w:hAnsi="Arial" w:cs="Arial"/>
          <w:b/>
          <w:bCs/>
          <w:sz w:val="24"/>
          <w:szCs w:val="24"/>
          <w:lang w:eastAsia="pt-BR"/>
        </w:rPr>
        <w:t>Cofins</w:t>
      </w:r>
      <w:proofErr w:type="spellEnd"/>
      <w:proofErr w:type="gramEnd"/>
      <w:r w:rsidRPr="003D37EC">
        <w:rPr>
          <w:rFonts w:ascii="Arial" w:eastAsia="Times New Roman" w:hAnsi="Arial" w:cs="Arial"/>
          <w:b/>
          <w:bCs/>
          <w:sz w:val="24"/>
          <w:szCs w:val="24"/>
          <w:lang w:eastAsia="pt-BR"/>
        </w:rPr>
        <w:t xml:space="preserve"> e PIS:</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P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 xml:space="preserve">Sobre as receitas de aluguéis incidem, mensalmente, a </w:t>
      </w:r>
      <w:proofErr w:type="spellStart"/>
      <w:proofErr w:type="gramStart"/>
      <w:r w:rsidRPr="003D37EC">
        <w:rPr>
          <w:rFonts w:ascii="Arial" w:eastAsia="Times New Roman" w:hAnsi="Arial" w:cs="Arial"/>
          <w:bCs/>
          <w:sz w:val="24"/>
          <w:szCs w:val="24"/>
          <w:lang w:eastAsia="pt-BR"/>
        </w:rPr>
        <w:t>Cofins</w:t>
      </w:r>
      <w:proofErr w:type="spellEnd"/>
      <w:proofErr w:type="gramEnd"/>
      <w:r w:rsidRPr="003D37EC">
        <w:rPr>
          <w:rFonts w:ascii="Arial" w:eastAsia="Times New Roman" w:hAnsi="Arial" w:cs="Arial"/>
          <w:bCs/>
          <w:sz w:val="24"/>
          <w:szCs w:val="24"/>
          <w:lang w:eastAsia="pt-BR"/>
        </w:rPr>
        <w:t xml:space="preserve"> e o PIS-Pasep, sendo irrelevante se a locação de bens faz parte ou não do objeto social da holding. Todavia, na base de cálculo dessas contribuições não se incluem as receitas de participações societárias, representadas pelos resultados positivos da avaliação de investimentos ela equivalência patrimonial e pelos dividendos recebidos de participações societárias avaliadas pelo custo de aquisição.</w:t>
      </w:r>
    </w:p>
    <w:p w:rsidR="003D37EC" w:rsidRPr="003D37EC" w:rsidRDefault="003D37EC" w:rsidP="003D37EC">
      <w:pPr>
        <w:spacing w:after="0" w:line="288" w:lineRule="auto"/>
        <w:jc w:val="both"/>
        <w:rPr>
          <w:rFonts w:ascii="Arial" w:eastAsia="Times New Roman" w:hAnsi="Arial" w:cs="Arial"/>
          <w:bCs/>
          <w:sz w:val="24"/>
          <w:szCs w:val="24"/>
          <w:lang w:eastAsia="pt-BR"/>
        </w:rPr>
      </w:pPr>
    </w:p>
    <w:p w:rsidR="003D37EC" w:rsidRDefault="003D37EC" w:rsidP="003D37EC">
      <w:pPr>
        <w:spacing w:after="0" w:line="288" w:lineRule="auto"/>
        <w:jc w:val="both"/>
        <w:rPr>
          <w:rFonts w:ascii="Arial" w:eastAsia="Times New Roman" w:hAnsi="Arial" w:cs="Arial"/>
          <w:bCs/>
          <w:sz w:val="24"/>
          <w:szCs w:val="24"/>
          <w:lang w:eastAsia="pt-BR"/>
        </w:rPr>
      </w:pPr>
      <w:r w:rsidRPr="003D37EC">
        <w:rPr>
          <w:rFonts w:ascii="Arial" w:eastAsia="Times New Roman" w:hAnsi="Arial" w:cs="Arial"/>
          <w:bCs/>
          <w:sz w:val="24"/>
          <w:szCs w:val="24"/>
          <w:lang w:eastAsia="pt-BR"/>
        </w:rPr>
        <w:t>A partir de 01.02.1999, a base de cálculo das mencionadas contribuições passou a abranger também outras receitas, tais como as receitas financeiras e os aluguéis.</w:t>
      </w:r>
    </w:p>
    <w:p w:rsidR="003D37EC" w:rsidRDefault="003D37EC" w:rsidP="007203E3">
      <w:pPr>
        <w:spacing w:after="0" w:line="288" w:lineRule="auto"/>
        <w:jc w:val="both"/>
        <w:rPr>
          <w:rFonts w:ascii="Arial" w:eastAsia="Times New Roman" w:hAnsi="Arial" w:cs="Arial"/>
          <w:bCs/>
          <w:sz w:val="24"/>
          <w:szCs w:val="24"/>
          <w:lang w:eastAsia="pt-BR"/>
        </w:rPr>
      </w:pPr>
    </w:p>
    <w:p w:rsidR="003D37EC" w:rsidRDefault="003D37EC" w:rsidP="007203E3">
      <w:pPr>
        <w:spacing w:after="0" w:line="288" w:lineRule="auto"/>
        <w:jc w:val="both"/>
        <w:rPr>
          <w:rFonts w:ascii="Arial" w:eastAsia="Times New Roman" w:hAnsi="Arial" w:cs="Arial"/>
          <w:bCs/>
          <w:sz w:val="24"/>
          <w:szCs w:val="24"/>
          <w:lang w:eastAsia="pt-BR"/>
        </w:rPr>
      </w:pPr>
    </w:p>
    <w:p w:rsidR="007203E3" w:rsidRPr="003D37EC" w:rsidRDefault="003D37EC" w:rsidP="007203E3">
      <w:pPr>
        <w:spacing w:after="0" w:line="288" w:lineRule="auto"/>
        <w:jc w:val="both"/>
        <w:rPr>
          <w:rFonts w:ascii="Arial" w:eastAsia="Times New Roman" w:hAnsi="Arial" w:cs="Arial"/>
          <w:b/>
          <w:bCs/>
          <w:sz w:val="24"/>
          <w:szCs w:val="24"/>
          <w:lang w:eastAsia="pt-BR"/>
        </w:rPr>
      </w:pPr>
      <w:r w:rsidRPr="003D37EC">
        <w:rPr>
          <w:rFonts w:ascii="Arial" w:eastAsia="Times New Roman" w:hAnsi="Arial" w:cs="Arial"/>
          <w:b/>
          <w:bCs/>
          <w:sz w:val="24"/>
          <w:szCs w:val="24"/>
          <w:lang w:eastAsia="pt-BR"/>
        </w:rPr>
        <w:t>INCIDÊNCIAS TRIBUTÁRIAS EVITADAS COM O PLANEJAMENTO SUCESSÓRIO:</w:t>
      </w:r>
    </w:p>
    <w:p w:rsidR="007203E3" w:rsidRPr="008D02BA" w:rsidRDefault="007203E3" w:rsidP="007203E3">
      <w:pPr>
        <w:spacing w:line="288" w:lineRule="auto"/>
        <w:jc w:val="both"/>
        <w:rPr>
          <w:rFonts w:ascii="Arial" w:eastAsia="Times New Roman" w:hAnsi="Arial" w:cs="Arial"/>
          <w:bCs/>
          <w:sz w:val="24"/>
          <w:szCs w:val="24"/>
          <w:lang w:eastAsia="pt-BR"/>
        </w:rPr>
      </w:pPr>
    </w:p>
    <w:p w:rsidR="007203E3" w:rsidRDefault="007203E3" w:rsidP="007203E3">
      <w:pPr>
        <w:pStyle w:val="PargrafodaLista"/>
        <w:numPr>
          <w:ilvl w:val="0"/>
          <w:numId w:val="1"/>
        </w:numPr>
        <w:spacing w:after="0" w:line="288" w:lineRule="auto"/>
        <w:jc w:val="both"/>
        <w:rPr>
          <w:rFonts w:eastAsia="Times New Roman" w:cs="Arial"/>
          <w:bCs/>
          <w:szCs w:val="24"/>
          <w:lang w:eastAsia="pt-BR"/>
        </w:rPr>
      </w:pPr>
      <w:r w:rsidRPr="0097530B">
        <w:rPr>
          <w:rFonts w:eastAsia="Times New Roman" w:cs="Arial"/>
          <w:bCs/>
          <w:szCs w:val="24"/>
          <w:lang w:eastAsia="pt-BR"/>
        </w:rPr>
        <w:t>ITBI – 2% - não incidência quando efetuada mediante a integralização de capital com bens e direitos.</w:t>
      </w:r>
    </w:p>
    <w:p w:rsidR="007203E3" w:rsidRPr="0097530B" w:rsidRDefault="007203E3" w:rsidP="007203E3">
      <w:pPr>
        <w:pStyle w:val="PargrafodaLista"/>
        <w:spacing w:after="0" w:line="288" w:lineRule="auto"/>
        <w:ind w:left="4260"/>
        <w:jc w:val="both"/>
        <w:rPr>
          <w:rFonts w:eastAsia="Times New Roman" w:cs="Arial"/>
          <w:bCs/>
          <w:szCs w:val="24"/>
          <w:lang w:eastAsia="pt-BR"/>
        </w:rPr>
      </w:pPr>
    </w:p>
    <w:p w:rsidR="007203E3" w:rsidRDefault="007203E3" w:rsidP="007203E3">
      <w:pPr>
        <w:pStyle w:val="PargrafodaLista"/>
        <w:numPr>
          <w:ilvl w:val="0"/>
          <w:numId w:val="1"/>
        </w:numPr>
        <w:spacing w:after="0" w:line="288" w:lineRule="auto"/>
        <w:jc w:val="both"/>
        <w:rPr>
          <w:rFonts w:eastAsia="Times New Roman" w:cs="Arial"/>
          <w:bCs/>
          <w:szCs w:val="24"/>
          <w:lang w:eastAsia="pt-BR"/>
        </w:rPr>
      </w:pPr>
      <w:r w:rsidRPr="0097530B">
        <w:rPr>
          <w:rFonts w:eastAsia="Times New Roman" w:cs="Arial"/>
          <w:bCs/>
          <w:szCs w:val="24"/>
          <w:lang w:eastAsia="pt-BR"/>
        </w:rPr>
        <w:t>ITCMD – 4% inocorrência do fato gerador quando feito através de doação de bens como antecipação da legítima.</w:t>
      </w:r>
    </w:p>
    <w:p w:rsidR="007203E3" w:rsidRPr="0097530B" w:rsidRDefault="007203E3" w:rsidP="007203E3">
      <w:pPr>
        <w:pStyle w:val="PargrafodaLista"/>
        <w:spacing w:after="0" w:line="288" w:lineRule="auto"/>
        <w:ind w:left="4260"/>
        <w:jc w:val="both"/>
        <w:rPr>
          <w:rFonts w:eastAsia="Times New Roman" w:cs="Arial"/>
          <w:bCs/>
          <w:szCs w:val="24"/>
          <w:lang w:eastAsia="pt-BR"/>
        </w:rPr>
      </w:pPr>
    </w:p>
    <w:p w:rsidR="007203E3" w:rsidRDefault="007203E3" w:rsidP="007203E3">
      <w:pPr>
        <w:pStyle w:val="PargrafodaLista"/>
        <w:numPr>
          <w:ilvl w:val="0"/>
          <w:numId w:val="1"/>
        </w:numPr>
        <w:spacing w:after="0" w:line="288" w:lineRule="auto"/>
        <w:jc w:val="both"/>
        <w:rPr>
          <w:rFonts w:eastAsia="Times New Roman" w:cs="Arial"/>
          <w:bCs/>
          <w:szCs w:val="24"/>
          <w:lang w:eastAsia="pt-BR"/>
        </w:rPr>
      </w:pPr>
      <w:r w:rsidRPr="0097530B">
        <w:rPr>
          <w:rFonts w:eastAsia="Times New Roman" w:cs="Arial"/>
          <w:bCs/>
          <w:szCs w:val="24"/>
          <w:lang w:eastAsia="pt-BR"/>
        </w:rPr>
        <w:t>IRRF – 15% -</w:t>
      </w:r>
      <w:r>
        <w:rPr>
          <w:rFonts w:eastAsia="Times New Roman" w:cs="Arial"/>
          <w:bCs/>
          <w:szCs w:val="24"/>
          <w:lang w:eastAsia="pt-BR"/>
        </w:rPr>
        <w:t xml:space="preserve"> </w:t>
      </w:r>
      <w:r w:rsidRPr="0097530B">
        <w:rPr>
          <w:rFonts w:eastAsia="Times New Roman" w:cs="Arial"/>
          <w:bCs/>
          <w:szCs w:val="24"/>
          <w:lang w:eastAsia="pt-BR"/>
        </w:rPr>
        <w:t>incidência sobre o ganho de capital se a transferência dos bens for processada pelo valor de mercado, ou seja, sobre o eventual ganho de capital, representando pela diferença entre o custo de aquisição e o valor de mercado.</w:t>
      </w:r>
    </w:p>
    <w:p w:rsidR="007203E3" w:rsidRPr="0097530B" w:rsidRDefault="007203E3" w:rsidP="007203E3">
      <w:pPr>
        <w:pStyle w:val="PargrafodaLista"/>
        <w:spacing w:after="0" w:line="288" w:lineRule="auto"/>
        <w:ind w:left="4260"/>
        <w:jc w:val="both"/>
        <w:rPr>
          <w:rFonts w:eastAsia="Times New Roman" w:cs="Arial"/>
          <w:bCs/>
          <w:szCs w:val="24"/>
          <w:lang w:eastAsia="pt-BR"/>
        </w:rPr>
      </w:pPr>
    </w:p>
    <w:p w:rsidR="007203E3" w:rsidRPr="0097530B" w:rsidRDefault="007203E3" w:rsidP="007203E3">
      <w:pPr>
        <w:pStyle w:val="PargrafodaLista"/>
        <w:numPr>
          <w:ilvl w:val="0"/>
          <w:numId w:val="1"/>
        </w:numPr>
        <w:spacing w:after="0" w:line="288" w:lineRule="auto"/>
        <w:jc w:val="both"/>
        <w:rPr>
          <w:rFonts w:eastAsia="Times New Roman" w:cs="Arial"/>
          <w:bCs/>
          <w:szCs w:val="24"/>
          <w:lang w:eastAsia="pt-BR"/>
        </w:rPr>
      </w:pPr>
      <w:r w:rsidRPr="0097530B">
        <w:rPr>
          <w:rFonts w:eastAsia="Times New Roman" w:cs="Arial"/>
          <w:bCs/>
          <w:szCs w:val="24"/>
          <w:lang w:eastAsia="pt-BR"/>
        </w:rPr>
        <w:t>TAXA JUDICIÁRIA – 1% - não incidência em virtude da antecipação da sucessão, evitando a propositura da ação judicial de inventário.</w:t>
      </w:r>
    </w:p>
    <w:p w:rsidR="007203E3" w:rsidRPr="008D02BA" w:rsidRDefault="007203E3" w:rsidP="007203E3">
      <w:pPr>
        <w:spacing w:after="0" w:line="288" w:lineRule="auto"/>
        <w:jc w:val="both"/>
        <w:rPr>
          <w:rFonts w:ascii="Arial" w:eastAsia="Times New Roman" w:hAnsi="Arial" w:cs="Arial"/>
          <w:bCs/>
          <w:sz w:val="24"/>
          <w:szCs w:val="24"/>
          <w:lang w:eastAsia="pt-BR"/>
        </w:rPr>
      </w:pPr>
    </w:p>
    <w:tbl>
      <w:tblPr>
        <w:tblW w:w="9599" w:type="dxa"/>
        <w:jc w:val="center"/>
        <w:tblCellSpacing w:w="15" w:type="dxa"/>
        <w:tblInd w:w="-972" w:type="dxa"/>
        <w:shd w:val="clear" w:color="auto" w:fill="CC0000"/>
        <w:tblCellMar>
          <w:left w:w="0" w:type="dxa"/>
          <w:right w:w="0" w:type="dxa"/>
        </w:tblCellMar>
        <w:tblLook w:val="04A0"/>
      </w:tblPr>
      <w:tblGrid>
        <w:gridCol w:w="4537"/>
        <w:gridCol w:w="2607"/>
        <w:gridCol w:w="2455"/>
      </w:tblGrid>
      <w:tr w:rsidR="007203E3" w:rsidRPr="008D02BA" w:rsidTr="007203E3">
        <w:trPr>
          <w:tblCellSpacing w:w="15" w:type="dxa"/>
          <w:jc w:val="center"/>
        </w:trPr>
        <w:tc>
          <w:tcPr>
            <w:tcW w:w="9539" w:type="dxa"/>
            <w:gridSpan w:val="3"/>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b/>
                <w:bCs/>
                <w:color w:val="990000"/>
                <w:sz w:val="24"/>
                <w:szCs w:val="24"/>
                <w:lang w:eastAsia="pt-BR"/>
              </w:rPr>
              <w:t xml:space="preserve">Vantagens </w:t>
            </w:r>
            <w:proofErr w:type="gramStart"/>
            <w:r w:rsidRPr="008D02BA">
              <w:rPr>
                <w:rFonts w:ascii="Arial" w:eastAsia="Times New Roman" w:hAnsi="Arial" w:cs="Arial"/>
                <w:b/>
                <w:bCs/>
                <w:color w:val="990000"/>
                <w:sz w:val="24"/>
                <w:szCs w:val="24"/>
                <w:lang w:eastAsia="pt-BR"/>
              </w:rPr>
              <w:t>da holding</w:t>
            </w:r>
            <w:proofErr w:type="gramEnd"/>
            <w:r w:rsidRPr="008D02BA">
              <w:rPr>
                <w:rFonts w:ascii="Arial" w:eastAsia="Times New Roman" w:hAnsi="Arial" w:cs="Arial"/>
                <w:b/>
                <w:bCs/>
                <w:color w:val="990000"/>
                <w:sz w:val="24"/>
                <w:szCs w:val="24"/>
                <w:lang w:eastAsia="pt-BR"/>
              </w:rPr>
              <w:t xml:space="preserve"> familiar em relação aos inventários</w:t>
            </w:r>
          </w:p>
        </w:tc>
      </w:tr>
      <w:tr w:rsidR="007203E3" w:rsidRPr="001A0E0B" w:rsidTr="007203E3">
        <w:trPr>
          <w:tblCellSpacing w:w="15" w:type="dxa"/>
          <w:jc w:val="center"/>
        </w:trPr>
        <w:tc>
          <w:tcPr>
            <w:tcW w:w="4492" w:type="dxa"/>
            <w:tcBorders>
              <w:top w:val="nil"/>
              <w:left w:val="nil"/>
              <w:bottom w:val="nil"/>
              <w:right w:val="nil"/>
            </w:tcBorders>
            <w:shd w:val="clear" w:color="auto" w:fill="auto"/>
            <w:tcMar>
              <w:top w:w="90" w:type="dxa"/>
              <w:left w:w="90" w:type="dxa"/>
              <w:bottom w:w="90" w:type="dxa"/>
              <w:right w:w="90" w:type="dxa"/>
            </w:tcMar>
            <w:vAlign w:val="center"/>
            <w:hideMark/>
          </w:tcPr>
          <w:p w:rsidR="007203E3" w:rsidRPr="00F81A3F" w:rsidRDefault="007203E3" w:rsidP="00E32F5E">
            <w:pPr>
              <w:jc w:val="center"/>
              <w:rPr>
                <w:rFonts w:ascii="Arial" w:hAnsi="Arial" w:cs="Arial"/>
                <w:b/>
              </w:rPr>
            </w:pPr>
            <w:r w:rsidRPr="00F81A3F">
              <w:rPr>
                <w:rFonts w:ascii="Arial" w:hAnsi="Arial" w:cs="Arial"/>
                <w:b/>
              </w:rPr>
              <w:t>Eventos</w:t>
            </w:r>
          </w:p>
        </w:tc>
        <w:tc>
          <w:tcPr>
            <w:tcW w:w="2577" w:type="dxa"/>
            <w:tcBorders>
              <w:top w:val="nil"/>
              <w:left w:val="nil"/>
              <w:bottom w:val="nil"/>
              <w:right w:val="nil"/>
            </w:tcBorders>
            <w:shd w:val="clear" w:color="auto" w:fill="auto"/>
            <w:tcMar>
              <w:top w:w="90" w:type="dxa"/>
              <w:left w:w="90" w:type="dxa"/>
              <w:bottom w:w="90" w:type="dxa"/>
              <w:right w:w="90" w:type="dxa"/>
            </w:tcMar>
            <w:vAlign w:val="center"/>
            <w:hideMark/>
          </w:tcPr>
          <w:p w:rsidR="007203E3" w:rsidRPr="001A0E0B" w:rsidRDefault="007203E3" w:rsidP="00E32F5E">
            <w:pPr>
              <w:jc w:val="center"/>
              <w:rPr>
                <w:rFonts w:ascii="Arial" w:hAnsi="Arial" w:cs="Arial"/>
                <w:b/>
              </w:rPr>
            </w:pPr>
            <w:r w:rsidRPr="001A0E0B">
              <w:rPr>
                <w:rFonts w:ascii="Arial" w:hAnsi="Arial" w:cs="Arial"/>
                <w:b/>
              </w:rPr>
              <w:t>Holding Familiar</w:t>
            </w:r>
          </w:p>
        </w:tc>
        <w:tc>
          <w:tcPr>
            <w:tcW w:w="2410" w:type="dxa"/>
            <w:tcBorders>
              <w:top w:val="nil"/>
              <w:left w:val="nil"/>
              <w:bottom w:val="nil"/>
              <w:right w:val="nil"/>
            </w:tcBorders>
            <w:shd w:val="clear" w:color="auto" w:fill="auto"/>
            <w:tcMar>
              <w:top w:w="90" w:type="dxa"/>
              <w:left w:w="90" w:type="dxa"/>
              <w:bottom w:w="90" w:type="dxa"/>
              <w:right w:w="90" w:type="dxa"/>
            </w:tcMar>
            <w:vAlign w:val="center"/>
            <w:hideMark/>
          </w:tcPr>
          <w:p w:rsidR="007203E3" w:rsidRPr="001A0E0B" w:rsidRDefault="007203E3" w:rsidP="00E32F5E">
            <w:pPr>
              <w:jc w:val="center"/>
              <w:rPr>
                <w:rFonts w:ascii="Arial" w:hAnsi="Arial" w:cs="Arial"/>
                <w:b/>
              </w:rPr>
            </w:pPr>
            <w:r w:rsidRPr="001A0E0B">
              <w:rPr>
                <w:rFonts w:ascii="Arial" w:hAnsi="Arial" w:cs="Arial"/>
                <w:b/>
              </w:rPr>
              <w:t>Inventário</w:t>
            </w:r>
          </w:p>
        </w:tc>
      </w:tr>
      <w:tr w:rsidR="007203E3" w:rsidRPr="008D02BA" w:rsidTr="007203E3">
        <w:trPr>
          <w:tblCellSpacing w:w="15" w:type="dxa"/>
          <w:jc w:val="center"/>
        </w:trPr>
        <w:tc>
          <w:tcPr>
            <w:tcW w:w="4492"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proofErr w:type="gramStart"/>
            <w:r w:rsidRPr="008D02BA">
              <w:rPr>
                <w:rFonts w:ascii="Arial" w:eastAsia="Times New Roman" w:hAnsi="Arial" w:cs="Arial"/>
                <w:sz w:val="24"/>
                <w:szCs w:val="24"/>
                <w:lang w:eastAsia="pt-BR"/>
              </w:rPr>
              <w:t>1)</w:t>
            </w:r>
            <w:proofErr w:type="gramEnd"/>
            <w:r w:rsidRPr="008D02BA">
              <w:rPr>
                <w:rFonts w:ascii="Arial" w:eastAsia="Times New Roman" w:hAnsi="Arial" w:cs="Arial"/>
                <w:sz w:val="24"/>
                <w:szCs w:val="24"/>
                <w:lang w:eastAsia="pt-BR"/>
              </w:rPr>
              <w:t xml:space="preserve"> Tributação da Herança e Doação</w:t>
            </w:r>
          </w:p>
        </w:tc>
        <w:tc>
          <w:tcPr>
            <w:tcW w:w="2577"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4%</w:t>
            </w:r>
          </w:p>
        </w:tc>
        <w:tc>
          <w:tcPr>
            <w:tcW w:w="2410"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4%</w:t>
            </w:r>
          </w:p>
        </w:tc>
      </w:tr>
      <w:tr w:rsidR="007203E3" w:rsidRPr="008D02BA" w:rsidTr="007203E3">
        <w:trPr>
          <w:tblCellSpacing w:w="15" w:type="dxa"/>
          <w:jc w:val="center"/>
        </w:trPr>
        <w:tc>
          <w:tcPr>
            <w:tcW w:w="4492"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proofErr w:type="gramStart"/>
            <w:r w:rsidRPr="008D02BA">
              <w:rPr>
                <w:rFonts w:ascii="Arial" w:eastAsia="Times New Roman" w:hAnsi="Arial" w:cs="Arial"/>
                <w:sz w:val="24"/>
                <w:szCs w:val="24"/>
                <w:lang w:eastAsia="pt-BR"/>
              </w:rPr>
              <w:t>2)</w:t>
            </w:r>
            <w:proofErr w:type="gramEnd"/>
            <w:r w:rsidRPr="008D02BA">
              <w:rPr>
                <w:rFonts w:ascii="Arial" w:eastAsia="Times New Roman" w:hAnsi="Arial" w:cs="Arial"/>
                <w:sz w:val="24"/>
                <w:szCs w:val="24"/>
                <w:lang w:eastAsia="pt-BR"/>
              </w:rPr>
              <w:t xml:space="preserve"> Tempo para criação ou tempo do</w:t>
            </w:r>
            <w:r>
              <w:rPr>
                <w:rFonts w:ascii="Arial" w:eastAsia="Times New Roman" w:hAnsi="Arial" w:cs="Arial"/>
                <w:sz w:val="24"/>
                <w:szCs w:val="24"/>
                <w:lang w:eastAsia="pt-BR"/>
              </w:rPr>
              <w:t xml:space="preserve"> </w:t>
            </w:r>
            <w:r w:rsidRPr="008D02BA">
              <w:rPr>
                <w:rFonts w:ascii="Arial" w:eastAsia="Times New Roman" w:hAnsi="Arial" w:cs="Arial"/>
                <w:sz w:val="24"/>
                <w:szCs w:val="24"/>
                <w:lang w:eastAsia="pt-BR"/>
              </w:rPr>
              <w:t>Inventário</w:t>
            </w:r>
          </w:p>
        </w:tc>
        <w:tc>
          <w:tcPr>
            <w:tcW w:w="2577"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r w:rsidRPr="008D02BA">
              <w:rPr>
                <w:rFonts w:ascii="Arial" w:eastAsia="Times New Roman" w:hAnsi="Arial" w:cs="Arial"/>
                <w:sz w:val="24"/>
                <w:szCs w:val="24"/>
                <w:lang w:eastAsia="pt-BR"/>
              </w:rPr>
              <w:t>30 dias em média.</w:t>
            </w:r>
          </w:p>
        </w:tc>
        <w:tc>
          <w:tcPr>
            <w:tcW w:w="2410"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r w:rsidRPr="008D02BA">
              <w:rPr>
                <w:rFonts w:ascii="Arial" w:eastAsia="Times New Roman" w:hAnsi="Arial" w:cs="Arial"/>
                <w:sz w:val="24"/>
                <w:szCs w:val="24"/>
                <w:lang w:eastAsia="pt-BR"/>
              </w:rPr>
              <w:t>05 anos em média</w:t>
            </w:r>
          </w:p>
        </w:tc>
      </w:tr>
      <w:tr w:rsidR="007203E3" w:rsidRPr="008D02BA" w:rsidTr="007203E3">
        <w:trPr>
          <w:tblCellSpacing w:w="15" w:type="dxa"/>
          <w:jc w:val="center"/>
        </w:trPr>
        <w:tc>
          <w:tcPr>
            <w:tcW w:w="4492"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proofErr w:type="gramStart"/>
            <w:r w:rsidRPr="008D02BA">
              <w:rPr>
                <w:rFonts w:ascii="Arial" w:eastAsia="Times New Roman" w:hAnsi="Arial" w:cs="Arial"/>
                <w:sz w:val="24"/>
                <w:szCs w:val="24"/>
                <w:lang w:eastAsia="pt-BR"/>
              </w:rPr>
              <w:t>3)</w:t>
            </w:r>
            <w:proofErr w:type="gramEnd"/>
            <w:r w:rsidRPr="008D02BA">
              <w:rPr>
                <w:rFonts w:ascii="Arial" w:eastAsia="Times New Roman" w:hAnsi="Arial" w:cs="Arial"/>
                <w:sz w:val="24"/>
                <w:szCs w:val="24"/>
                <w:lang w:eastAsia="pt-BR"/>
              </w:rPr>
              <w:t xml:space="preserve"> Tributação dos Rendimentos</w:t>
            </w:r>
          </w:p>
        </w:tc>
        <w:tc>
          <w:tcPr>
            <w:tcW w:w="2577"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12.00%</w:t>
            </w:r>
          </w:p>
        </w:tc>
        <w:tc>
          <w:tcPr>
            <w:tcW w:w="2410"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27.50%</w:t>
            </w:r>
          </w:p>
        </w:tc>
      </w:tr>
      <w:tr w:rsidR="007203E3" w:rsidRPr="008D02BA" w:rsidTr="007203E3">
        <w:trPr>
          <w:tblCellSpacing w:w="15" w:type="dxa"/>
          <w:jc w:val="center"/>
        </w:trPr>
        <w:tc>
          <w:tcPr>
            <w:tcW w:w="4492"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proofErr w:type="gramStart"/>
            <w:r w:rsidRPr="008D02BA">
              <w:rPr>
                <w:rFonts w:ascii="Arial" w:eastAsia="Times New Roman" w:hAnsi="Arial" w:cs="Arial"/>
                <w:sz w:val="24"/>
                <w:szCs w:val="24"/>
                <w:lang w:eastAsia="pt-BR"/>
              </w:rPr>
              <w:t>4)</w:t>
            </w:r>
            <w:proofErr w:type="gramEnd"/>
            <w:r w:rsidRPr="008D02BA">
              <w:rPr>
                <w:rFonts w:ascii="Arial" w:eastAsia="Times New Roman" w:hAnsi="Arial" w:cs="Arial"/>
                <w:sz w:val="24"/>
                <w:szCs w:val="24"/>
                <w:lang w:eastAsia="pt-BR"/>
              </w:rPr>
              <w:t xml:space="preserve"> Tributação da venda de Bens Imóveis</w:t>
            </w:r>
          </w:p>
        </w:tc>
        <w:tc>
          <w:tcPr>
            <w:tcW w:w="2577"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5.80%</w:t>
            </w:r>
          </w:p>
        </w:tc>
        <w:tc>
          <w:tcPr>
            <w:tcW w:w="2410"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center"/>
              <w:rPr>
                <w:rFonts w:ascii="Arial" w:eastAsia="Times New Roman" w:hAnsi="Arial" w:cs="Arial"/>
                <w:sz w:val="24"/>
                <w:szCs w:val="24"/>
                <w:lang w:eastAsia="pt-BR"/>
              </w:rPr>
            </w:pPr>
            <w:r w:rsidRPr="008D02BA">
              <w:rPr>
                <w:rFonts w:ascii="Arial" w:eastAsia="Times New Roman" w:hAnsi="Arial" w:cs="Arial"/>
                <w:sz w:val="24"/>
                <w:szCs w:val="24"/>
                <w:lang w:eastAsia="pt-BR"/>
              </w:rPr>
              <w:t>27.50%</w:t>
            </w:r>
          </w:p>
        </w:tc>
      </w:tr>
      <w:tr w:rsidR="007203E3" w:rsidRPr="008D02BA" w:rsidTr="007203E3">
        <w:trPr>
          <w:tblCellSpacing w:w="15" w:type="dxa"/>
          <w:jc w:val="center"/>
        </w:trPr>
        <w:tc>
          <w:tcPr>
            <w:tcW w:w="4492"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proofErr w:type="gramStart"/>
            <w:r w:rsidRPr="008D02BA">
              <w:rPr>
                <w:rFonts w:ascii="Arial" w:eastAsia="Times New Roman" w:hAnsi="Arial" w:cs="Arial"/>
                <w:sz w:val="24"/>
                <w:szCs w:val="24"/>
                <w:lang w:eastAsia="pt-BR"/>
              </w:rPr>
              <w:t>5)</w:t>
            </w:r>
            <w:proofErr w:type="gramEnd"/>
            <w:r w:rsidRPr="008D02BA">
              <w:rPr>
                <w:rFonts w:ascii="Arial" w:eastAsia="Times New Roman" w:hAnsi="Arial" w:cs="Arial"/>
                <w:sz w:val="24"/>
                <w:szCs w:val="24"/>
                <w:lang w:eastAsia="pt-BR"/>
              </w:rPr>
              <w:t xml:space="preserve"> Sucessão conforme novo Código Civil para casamentos com comunhão parcial de bens</w:t>
            </w:r>
          </w:p>
        </w:tc>
        <w:tc>
          <w:tcPr>
            <w:tcW w:w="2577"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r w:rsidRPr="008D02BA">
              <w:rPr>
                <w:rFonts w:ascii="Arial" w:eastAsia="Times New Roman" w:hAnsi="Arial" w:cs="Arial"/>
                <w:sz w:val="24"/>
                <w:szCs w:val="24"/>
                <w:lang w:eastAsia="pt-BR"/>
              </w:rPr>
              <w:t>Cônjuge NÃO é herdeiro.</w:t>
            </w:r>
          </w:p>
        </w:tc>
        <w:tc>
          <w:tcPr>
            <w:tcW w:w="2410" w:type="dxa"/>
            <w:tcBorders>
              <w:top w:val="nil"/>
              <w:left w:val="nil"/>
              <w:bottom w:val="nil"/>
              <w:right w:val="nil"/>
            </w:tcBorders>
            <w:shd w:val="clear" w:color="auto" w:fill="DDDFEF"/>
            <w:tcMar>
              <w:top w:w="90" w:type="dxa"/>
              <w:left w:w="90" w:type="dxa"/>
              <w:bottom w:w="90" w:type="dxa"/>
              <w:right w:w="90" w:type="dxa"/>
            </w:tcMar>
            <w:vAlign w:val="center"/>
            <w:hideMark/>
          </w:tcPr>
          <w:p w:rsidR="007203E3" w:rsidRPr="008D02BA" w:rsidRDefault="007203E3" w:rsidP="00E32F5E">
            <w:pPr>
              <w:spacing w:after="0" w:line="240" w:lineRule="auto"/>
              <w:jc w:val="both"/>
              <w:rPr>
                <w:rFonts w:ascii="Arial" w:eastAsia="Times New Roman" w:hAnsi="Arial" w:cs="Arial"/>
                <w:sz w:val="24"/>
                <w:szCs w:val="24"/>
                <w:lang w:eastAsia="pt-BR"/>
              </w:rPr>
            </w:pPr>
            <w:r w:rsidRPr="008D02BA">
              <w:rPr>
                <w:rFonts w:ascii="Arial" w:eastAsia="Times New Roman" w:hAnsi="Arial" w:cs="Arial"/>
                <w:sz w:val="24"/>
                <w:szCs w:val="24"/>
                <w:lang w:eastAsia="pt-BR"/>
              </w:rPr>
              <w:t>Cônjuge É herdeiro.</w:t>
            </w:r>
          </w:p>
        </w:tc>
      </w:tr>
    </w:tbl>
    <w:p w:rsidR="007203E3" w:rsidRDefault="007203E3" w:rsidP="007203E3">
      <w:pPr>
        <w:jc w:val="both"/>
        <w:rPr>
          <w:rFonts w:ascii="Arial" w:hAnsi="Arial" w:cs="Arial"/>
          <w:b/>
          <w:sz w:val="24"/>
          <w:szCs w:val="24"/>
        </w:rPr>
      </w:pPr>
    </w:p>
    <w:p w:rsidR="007203E3" w:rsidRPr="007C3CA5" w:rsidRDefault="007203E3" w:rsidP="007203E3">
      <w:pPr>
        <w:jc w:val="both"/>
        <w:rPr>
          <w:rFonts w:ascii="Arial" w:hAnsi="Arial" w:cs="Arial"/>
          <w:b/>
          <w:sz w:val="24"/>
          <w:szCs w:val="24"/>
          <w:u w:val="single"/>
        </w:rPr>
      </w:pPr>
      <w:r w:rsidRPr="007C3CA5">
        <w:rPr>
          <w:rFonts w:ascii="Arial" w:hAnsi="Arial" w:cs="Arial"/>
          <w:b/>
          <w:sz w:val="24"/>
          <w:szCs w:val="24"/>
        </w:rPr>
        <w:t xml:space="preserve">- </w:t>
      </w:r>
      <w:r w:rsidRPr="007C3CA5">
        <w:rPr>
          <w:rFonts w:ascii="Arial" w:hAnsi="Arial" w:cs="Arial"/>
          <w:b/>
          <w:sz w:val="24"/>
          <w:szCs w:val="24"/>
          <w:u w:val="single"/>
        </w:rPr>
        <w:t>CARGA TRIBUTÁRIA:</w:t>
      </w:r>
    </w:p>
    <w:p w:rsidR="007203E3" w:rsidRDefault="007203E3" w:rsidP="007203E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 opção tributária que a Holding irá adotar influenciará diretamente no valor a ser pago efetivamente de impostos.</w:t>
      </w:r>
    </w:p>
    <w:tbl>
      <w:tblPr>
        <w:tblStyle w:val="Tabelacomgrade"/>
        <w:tblW w:w="0" w:type="auto"/>
        <w:jc w:val="center"/>
        <w:tblInd w:w="-89" w:type="dxa"/>
        <w:tblLook w:val="04A0"/>
      </w:tblPr>
      <w:tblGrid>
        <w:gridCol w:w="2250"/>
        <w:gridCol w:w="2161"/>
        <w:gridCol w:w="2161"/>
        <w:gridCol w:w="2161"/>
      </w:tblGrid>
      <w:tr w:rsidR="007203E3" w:rsidTr="00E32F5E">
        <w:trPr>
          <w:jc w:val="center"/>
        </w:trPr>
        <w:tc>
          <w:tcPr>
            <w:tcW w:w="4411" w:type="dxa"/>
            <w:gridSpan w:val="2"/>
          </w:tcPr>
          <w:p w:rsidR="007203E3" w:rsidRPr="00FC1AB6" w:rsidRDefault="007203E3" w:rsidP="00E32F5E">
            <w:pPr>
              <w:jc w:val="center"/>
              <w:rPr>
                <w:rFonts w:ascii="Arial" w:hAnsi="Arial" w:cs="Arial"/>
                <w:i/>
                <w:sz w:val="24"/>
                <w:szCs w:val="24"/>
              </w:rPr>
            </w:pPr>
            <w:r w:rsidRPr="00FC1AB6">
              <w:rPr>
                <w:rStyle w:val="Forte"/>
                <w:rFonts w:ascii="Arial" w:hAnsi="Arial" w:cs="Arial"/>
                <w:i/>
                <w:sz w:val="27"/>
                <w:szCs w:val="27"/>
                <w:lang w:eastAsia="es-UY"/>
              </w:rPr>
              <w:t>LUCRO REAL</w:t>
            </w:r>
          </w:p>
        </w:tc>
        <w:tc>
          <w:tcPr>
            <w:tcW w:w="4322" w:type="dxa"/>
            <w:gridSpan w:val="2"/>
          </w:tcPr>
          <w:p w:rsidR="007203E3" w:rsidRPr="00FC1AB6" w:rsidRDefault="007203E3" w:rsidP="00E32F5E">
            <w:pPr>
              <w:jc w:val="center"/>
              <w:rPr>
                <w:rFonts w:ascii="Arial" w:hAnsi="Arial" w:cs="Arial"/>
                <w:i/>
                <w:sz w:val="24"/>
                <w:szCs w:val="24"/>
              </w:rPr>
            </w:pPr>
            <w:r w:rsidRPr="00FC1AB6">
              <w:rPr>
                <w:rStyle w:val="Forte"/>
                <w:rFonts w:ascii="Arial" w:hAnsi="Arial" w:cs="Arial"/>
                <w:i/>
                <w:sz w:val="27"/>
                <w:szCs w:val="27"/>
                <w:lang w:eastAsia="es-UY"/>
              </w:rPr>
              <w:t>LUCRO PRESUMIDO</w:t>
            </w:r>
          </w:p>
        </w:tc>
      </w:tr>
      <w:tr w:rsidR="007203E3" w:rsidTr="00E32F5E">
        <w:trPr>
          <w:jc w:val="center"/>
        </w:trPr>
        <w:tc>
          <w:tcPr>
            <w:tcW w:w="2250" w:type="dxa"/>
          </w:tcPr>
          <w:p w:rsidR="007203E3" w:rsidRDefault="007203E3" w:rsidP="00E32F5E">
            <w:pPr>
              <w:rPr>
                <w:rFonts w:ascii="Arial" w:hAnsi="Arial" w:cs="Arial"/>
                <w:b/>
                <w:sz w:val="15"/>
                <w:szCs w:val="15"/>
                <w:lang w:eastAsia="es-UY"/>
              </w:rPr>
            </w:pPr>
          </w:p>
          <w:p w:rsidR="007203E3" w:rsidRDefault="007203E3" w:rsidP="00E32F5E">
            <w:pPr>
              <w:rPr>
                <w:rFonts w:ascii="Arial" w:hAnsi="Arial" w:cs="Arial"/>
                <w:b/>
                <w:sz w:val="15"/>
                <w:szCs w:val="15"/>
                <w:lang w:eastAsia="es-UY"/>
              </w:rPr>
            </w:pPr>
          </w:p>
          <w:p w:rsidR="007203E3" w:rsidRDefault="007203E3" w:rsidP="00E32F5E">
            <w:pPr>
              <w:rPr>
                <w:rFonts w:ascii="Arial" w:hAnsi="Arial" w:cs="Arial"/>
                <w:b/>
                <w:sz w:val="15"/>
                <w:szCs w:val="15"/>
                <w:lang w:eastAsia="es-UY"/>
              </w:rPr>
            </w:pPr>
          </w:p>
          <w:p w:rsidR="007203E3" w:rsidRDefault="007203E3" w:rsidP="00E32F5E">
            <w:pPr>
              <w:rPr>
                <w:rFonts w:ascii="Arial" w:hAnsi="Arial" w:cs="Arial"/>
                <w:b/>
                <w:sz w:val="15"/>
                <w:szCs w:val="15"/>
                <w:lang w:eastAsia="es-UY"/>
              </w:rPr>
            </w:pPr>
          </w:p>
          <w:p w:rsidR="007203E3" w:rsidRDefault="007203E3" w:rsidP="00E32F5E">
            <w:pPr>
              <w:rPr>
                <w:rFonts w:ascii="Arial" w:hAnsi="Arial" w:cs="Arial"/>
                <w:b/>
                <w:sz w:val="15"/>
                <w:szCs w:val="15"/>
                <w:lang w:eastAsia="es-UY"/>
              </w:rPr>
            </w:pPr>
          </w:p>
          <w:p w:rsidR="007203E3" w:rsidRPr="00F25299" w:rsidRDefault="007203E3" w:rsidP="00E32F5E">
            <w:pPr>
              <w:rPr>
                <w:rFonts w:ascii="Arial" w:hAnsi="Arial" w:cs="Arial"/>
                <w:b/>
                <w:sz w:val="24"/>
                <w:szCs w:val="24"/>
              </w:rPr>
            </w:pPr>
            <w:r w:rsidRPr="00F25299">
              <w:rPr>
                <w:rFonts w:ascii="Arial" w:hAnsi="Arial" w:cs="Arial"/>
                <w:b/>
                <w:sz w:val="15"/>
                <w:szCs w:val="15"/>
                <w:lang w:eastAsia="es-UY"/>
              </w:rPr>
              <w:lastRenderedPageBreak/>
              <w:t>IMPOSTO DE RENDA - IRPJ</w:t>
            </w:r>
          </w:p>
        </w:tc>
        <w:tc>
          <w:tcPr>
            <w:tcW w:w="2161" w:type="dxa"/>
          </w:tcPr>
          <w:p w:rsidR="007203E3" w:rsidRDefault="007203E3" w:rsidP="00E32F5E">
            <w:pPr>
              <w:rPr>
                <w:rFonts w:ascii="Arial" w:hAnsi="Arial" w:cs="Arial"/>
                <w:sz w:val="24"/>
                <w:szCs w:val="24"/>
              </w:rPr>
            </w:pPr>
            <w:r>
              <w:rPr>
                <w:rStyle w:val="Forte"/>
                <w:rFonts w:ascii="Arial" w:hAnsi="Arial" w:cs="Arial"/>
                <w:sz w:val="20"/>
                <w:szCs w:val="20"/>
                <w:lang w:eastAsia="es-UY"/>
              </w:rPr>
              <w:lastRenderedPageBreak/>
              <w:t>15%</w:t>
            </w:r>
            <w:r>
              <w:rPr>
                <w:rFonts w:ascii="Arial" w:hAnsi="Arial" w:cs="Arial"/>
                <w:sz w:val="20"/>
                <w:szCs w:val="20"/>
                <w:lang w:eastAsia="es-UY"/>
              </w:rPr>
              <w:t xml:space="preserve"> S/ LUCRO LÍQUIDO</w:t>
            </w:r>
            <w:r>
              <w:rPr>
                <w:rFonts w:ascii="Arial" w:hAnsi="Arial" w:cs="Arial"/>
                <w:sz w:val="20"/>
                <w:szCs w:val="20"/>
                <w:lang w:eastAsia="es-UY"/>
              </w:rPr>
              <w:br/>
              <w:t xml:space="preserve">=Total das Receitas - Total das Despesas </w:t>
            </w:r>
            <w:r>
              <w:rPr>
                <w:rFonts w:ascii="Arial" w:hAnsi="Arial" w:cs="Arial"/>
                <w:sz w:val="20"/>
                <w:szCs w:val="20"/>
                <w:lang w:eastAsia="es-UY"/>
              </w:rPr>
              <w:lastRenderedPageBreak/>
              <w:t>dedutíveis e permitidas.</w:t>
            </w:r>
          </w:p>
        </w:tc>
        <w:tc>
          <w:tcPr>
            <w:tcW w:w="2161" w:type="dxa"/>
          </w:tcPr>
          <w:p w:rsidR="007203E3" w:rsidRDefault="007203E3" w:rsidP="00E32F5E">
            <w:pPr>
              <w:rPr>
                <w:rFonts w:ascii="Arial" w:hAnsi="Arial" w:cs="Arial"/>
                <w:b/>
                <w:sz w:val="15"/>
                <w:szCs w:val="15"/>
                <w:lang w:val="es-UY" w:eastAsia="es-UY"/>
              </w:rPr>
            </w:pPr>
          </w:p>
          <w:p w:rsidR="007203E3" w:rsidRDefault="007203E3" w:rsidP="00E32F5E">
            <w:pPr>
              <w:rPr>
                <w:rFonts w:ascii="Arial" w:hAnsi="Arial" w:cs="Arial"/>
                <w:b/>
                <w:sz w:val="15"/>
                <w:szCs w:val="15"/>
                <w:lang w:val="es-UY" w:eastAsia="es-UY"/>
              </w:rPr>
            </w:pPr>
          </w:p>
          <w:p w:rsidR="007203E3" w:rsidRDefault="007203E3" w:rsidP="00E32F5E">
            <w:pPr>
              <w:rPr>
                <w:rFonts w:ascii="Arial" w:hAnsi="Arial" w:cs="Arial"/>
                <w:b/>
                <w:sz w:val="15"/>
                <w:szCs w:val="15"/>
                <w:lang w:val="es-UY" w:eastAsia="es-UY"/>
              </w:rPr>
            </w:pPr>
          </w:p>
          <w:p w:rsidR="007203E3" w:rsidRDefault="007203E3" w:rsidP="00E32F5E">
            <w:pPr>
              <w:rPr>
                <w:rFonts w:ascii="Arial" w:hAnsi="Arial" w:cs="Arial"/>
                <w:b/>
                <w:sz w:val="15"/>
                <w:szCs w:val="15"/>
                <w:lang w:val="es-UY" w:eastAsia="es-UY"/>
              </w:rPr>
            </w:pPr>
          </w:p>
          <w:p w:rsidR="007203E3" w:rsidRDefault="007203E3" w:rsidP="00E32F5E">
            <w:pPr>
              <w:rPr>
                <w:rFonts w:ascii="Arial" w:hAnsi="Arial" w:cs="Arial"/>
                <w:b/>
                <w:sz w:val="15"/>
                <w:szCs w:val="15"/>
                <w:lang w:val="es-UY" w:eastAsia="es-UY"/>
              </w:rPr>
            </w:pPr>
          </w:p>
          <w:p w:rsidR="007203E3" w:rsidRPr="00F25299" w:rsidRDefault="007203E3" w:rsidP="00E32F5E">
            <w:pPr>
              <w:rPr>
                <w:rFonts w:ascii="Arial" w:hAnsi="Arial" w:cs="Arial"/>
                <w:b/>
                <w:sz w:val="24"/>
                <w:szCs w:val="24"/>
              </w:rPr>
            </w:pPr>
            <w:r w:rsidRPr="00F25299">
              <w:rPr>
                <w:rFonts w:ascii="Arial" w:hAnsi="Arial" w:cs="Arial"/>
                <w:b/>
                <w:sz w:val="15"/>
                <w:szCs w:val="15"/>
                <w:lang w:val="es-UY" w:eastAsia="es-UY"/>
              </w:rPr>
              <w:lastRenderedPageBreak/>
              <w:t>IMPOSTO DE RENDA - IRPJ</w:t>
            </w:r>
          </w:p>
        </w:tc>
        <w:tc>
          <w:tcPr>
            <w:tcW w:w="2161" w:type="dxa"/>
          </w:tcPr>
          <w:p w:rsidR="007203E3" w:rsidRDefault="007203E3" w:rsidP="00E32F5E">
            <w:pPr>
              <w:rPr>
                <w:rFonts w:ascii="Arial" w:hAnsi="Arial" w:cs="Arial"/>
                <w:sz w:val="24"/>
                <w:szCs w:val="24"/>
              </w:rPr>
            </w:pPr>
            <w:r>
              <w:rPr>
                <w:rStyle w:val="Forte"/>
                <w:rFonts w:ascii="Arial" w:hAnsi="Arial" w:cs="Arial"/>
                <w:sz w:val="20"/>
                <w:szCs w:val="20"/>
                <w:lang w:eastAsia="es-UY"/>
              </w:rPr>
              <w:lastRenderedPageBreak/>
              <w:t>15%</w:t>
            </w:r>
            <w:r>
              <w:rPr>
                <w:rFonts w:ascii="Arial" w:hAnsi="Arial" w:cs="Arial"/>
                <w:sz w:val="20"/>
                <w:szCs w:val="20"/>
                <w:lang w:eastAsia="es-UY"/>
              </w:rPr>
              <w:t xml:space="preserve"> S/ o Lucro Presumido calculado da seguinte forma: </w:t>
            </w:r>
            <w:r>
              <w:rPr>
                <w:rStyle w:val="Forte"/>
                <w:rFonts w:ascii="Arial" w:hAnsi="Arial" w:cs="Arial"/>
                <w:sz w:val="20"/>
                <w:szCs w:val="20"/>
                <w:lang w:eastAsia="es-UY"/>
              </w:rPr>
              <w:t>8%</w:t>
            </w:r>
            <w:r>
              <w:rPr>
                <w:rFonts w:ascii="Arial" w:hAnsi="Arial" w:cs="Arial"/>
                <w:sz w:val="20"/>
                <w:szCs w:val="20"/>
                <w:lang w:eastAsia="es-UY"/>
              </w:rPr>
              <w:t xml:space="preserve"> para Indústria </w:t>
            </w:r>
            <w:r>
              <w:rPr>
                <w:rFonts w:ascii="Arial" w:hAnsi="Arial" w:cs="Arial"/>
                <w:sz w:val="20"/>
                <w:szCs w:val="20"/>
                <w:lang w:eastAsia="es-UY"/>
              </w:rPr>
              <w:lastRenderedPageBreak/>
              <w:t xml:space="preserve">e/ou Comércio, </w:t>
            </w:r>
            <w:r>
              <w:rPr>
                <w:rStyle w:val="Forte"/>
                <w:rFonts w:ascii="Arial" w:hAnsi="Arial" w:cs="Arial"/>
                <w:sz w:val="20"/>
                <w:szCs w:val="20"/>
                <w:lang w:eastAsia="es-UY"/>
              </w:rPr>
              <w:t>16%</w:t>
            </w:r>
            <w:r>
              <w:rPr>
                <w:rFonts w:ascii="Arial" w:hAnsi="Arial" w:cs="Arial"/>
                <w:sz w:val="20"/>
                <w:szCs w:val="20"/>
                <w:lang w:eastAsia="es-UY"/>
              </w:rPr>
              <w:t xml:space="preserve"> para Transportes e </w:t>
            </w:r>
            <w:r>
              <w:rPr>
                <w:rStyle w:val="Forte"/>
                <w:rFonts w:ascii="Arial" w:hAnsi="Arial" w:cs="Arial"/>
                <w:sz w:val="20"/>
                <w:szCs w:val="20"/>
                <w:lang w:eastAsia="es-UY"/>
              </w:rPr>
              <w:t>32%</w:t>
            </w:r>
            <w:r>
              <w:rPr>
                <w:rFonts w:ascii="Arial" w:hAnsi="Arial" w:cs="Arial"/>
                <w:sz w:val="20"/>
                <w:szCs w:val="20"/>
                <w:lang w:eastAsia="es-UY"/>
              </w:rPr>
              <w:t xml:space="preserve"> para prestadoras de serviços.</w:t>
            </w:r>
          </w:p>
        </w:tc>
      </w:tr>
      <w:tr w:rsidR="007203E3" w:rsidTr="00E32F5E">
        <w:trPr>
          <w:jc w:val="center"/>
        </w:trPr>
        <w:tc>
          <w:tcPr>
            <w:tcW w:w="2250"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lastRenderedPageBreak/>
              <w:t>PIS/PASEP</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1,65%</w:t>
            </w:r>
            <w:r>
              <w:rPr>
                <w:rFonts w:ascii="Arial" w:hAnsi="Arial" w:cs="Arial"/>
                <w:sz w:val="20"/>
                <w:szCs w:val="20"/>
                <w:lang w:eastAsia="es-UY"/>
              </w:rPr>
              <w:t xml:space="preserve"> SOBRE O FATURAMENTO TOTAL (VENDAS + SERVIÇOS + RECEITAS FINANCEIRAS, ETC</w:t>
            </w:r>
            <w:proofErr w:type="gramStart"/>
            <w:r>
              <w:rPr>
                <w:rFonts w:ascii="Arial" w:hAnsi="Arial" w:cs="Arial"/>
                <w:sz w:val="20"/>
                <w:szCs w:val="20"/>
                <w:lang w:eastAsia="es-UY"/>
              </w:rPr>
              <w:t>)</w:t>
            </w:r>
            <w:proofErr w:type="gramEnd"/>
          </w:p>
        </w:tc>
        <w:tc>
          <w:tcPr>
            <w:tcW w:w="2161"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PIS/PASEP</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0,65%</w:t>
            </w:r>
            <w:r>
              <w:rPr>
                <w:rFonts w:ascii="Arial" w:hAnsi="Arial" w:cs="Arial"/>
                <w:sz w:val="20"/>
                <w:szCs w:val="20"/>
                <w:lang w:eastAsia="es-UY"/>
              </w:rPr>
              <w:t xml:space="preserve"> SOBRE O FATURAMENTO TOTAL (VENDAS + SERVIÇOS + RECEITAS FINANCEIRAS, ETC</w:t>
            </w:r>
            <w:proofErr w:type="gramStart"/>
            <w:r>
              <w:rPr>
                <w:rFonts w:ascii="Arial" w:hAnsi="Arial" w:cs="Arial"/>
                <w:sz w:val="20"/>
                <w:szCs w:val="20"/>
                <w:lang w:eastAsia="es-UY"/>
              </w:rPr>
              <w:t>)</w:t>
            </w:r>
            <w:proofErr w:type="gramEnd"/>
          </w:p>
        </w:tc>
      </w:tr>
      <w:tr w:rsidR="007203E3" w:rsidTr="00E32F5E">
        <w:trPr>
          <w:jc w:val="center"/>
        </w:trPr>
        <w:tc>
          <w:tcPr>
            <w:tcW w:w="2250"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COFINS</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7,6%</w:t>
            </w:r>
            <w:r>
              <w:rPr>
                <w:rFonts w:ascii="Arial" w:hAnsi="Arial" w:cs="Arial"/>
                <w:sz w:val="20"/>
                <w:szCs w:val="20"/>
                <w:lang w:eastAsia="es-UY"/>
              </w:rPr>
              <w:t xml:space="preserve"> SOBRE O FATURAMENTO TOTAL (VENDAS + SERVIÇOS + RECEITAS FINANCEIRAS, ETC). </w:t>
            </w:r>
            <w:proofErr w:type="spellStart"/>
            <w:r>
              <w:rPr>
                <w:rFonts w:ascii="Arial" w:hAnsi="Arial" w:cs="Arial"/>
                <w:sz w:val="20"/>
                <w:szCs w:val="20"/>
                <w:lang w:val="es-UY" w:eastAsia="es-UY"/>
              </w:rPr>
              <w:t>Não</w:t>
            </w:r>
            <w:proofErr w:type="spellEnd"/>
            <w:r>
              <w:rPr>
                <w:rFonts w:ascii="Arial" w:hAnsi="Arial" w:cs="Arial"/>
                <w:sz w:val="20"/>
                <w:szCs w:val="20"/>
                <w:lang w:val="es-UY" w:eastAsia="es-UY"/>
              </w:rPr>
              <w:t xml:space="preserve"> cumulativo no caso de empresas </w:t>
            </w:r>
            <w:proofErr w:type="spellStart"/>
            <w:r>
              <w:rPr>
                <w:rFonts w:ascii="Arial" w:hAnsi="Arial" w:cs="Arial"/>
                <w:sz w:val="20"/>
                <w:szCs w:val="20"/>
                <w:lang w:val="es-UY" w:eastAsia="es-UY"/>
              </w:rPr>
              <w:t>industriais</w:t>
            </w:r>
            <w:proofErr w:type="spellEnd"/>
            <w:r>
              <w:rPr>
                <w:rFonts w:ascii="Arial" w:hAnsi="Arial" w:cs="Arial"/>
                <w:sz w:val="20"/>
                <w:szCs w:val="20"/>
                <w:lang w:val="es-UY" w:eastAsia="es-UY"/>
              </w:rPr>
              <w:t xml:space="preserve"> e </w:t>
            </w:r>
            <w:proofErr w:type="spellStart"/>
            <w:r>
              <w:rPr>
                <w:rFonts w:ascii="Arial" w:hAnsi="Arial" w:cs="Arial"/>
                <w:sz w:val="20"/>
                <w:szCs w:val="20"/>
                <w:lang w:val="es-UY" w:eastAsia="es-UY"/>
              </w:rPr>
              <w:t>comerciais</w:t>
            </w:r>
            <w:proofErr w:type="spellEnd"/>
            <w:r>
              <w:rPr>
                <w:rFonts w:ascii="Arial" w:hAnsi="Arial" w:cs="Arial"/>
                <w:sz w:val="20"/>
                <w:szCs w:val="20"/>
                <w:lang w:val="es-UY" w:eastAsia="es-UY"/>
              </w:rPr>
              <w:t>.</w:t>
            </w:r>
          </w:p>
        </w:tc>
        <w:tc>
          <w:tcPr>
            <w:tcW w:w="2161"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COFINS</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3%</w:t>
            </w:r>
            <w:r>
              <w:rPr>
                <w:rFonts w:ascii="Arial" w:hAnsi="Arial" w:cs="Arial"/>
                <w:sz w:val="20"/>
                <w:szCs w:val="20"/>
                <w:lang w:eastAsia="es-UY"/>
              </w:rPr>
              <w:t xml:space="preserve"> SOBRE O FATURAMENTO TOTAL (VENDAS + SERVIÇOS + RECEITAS FINANCEIRAS, ETC).</w:t>
            </w:r>
          </w:p>
        </w:tc>
      </w:tr>
      <w:tr w:rsidR="007203E3" w:rsidTr="00E32F5E">
        <w:trPr>
          <w:jc w:val="center"/>
        </w:trPr>
        <w:tc>
          <w:tcPr>
            <w:tcW w:w="2250"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CONTRIBUIÇÃO SOCIAL - CSLL</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9%</w:t>
            </w:r>
            <w:r>
              <w:rPr>
                <w:rFonts w:ascii="Arial" w:hAnsi="Arial" w:cs="Arial"/>
                <w:sz w:val="20"/>
                <w:szCs w:val="20"/>
                <w:lang w:eastAsia="es-UY"/>
              </w:rPr>
              <w:t xml:space="preserve"> S/ LUCRO LÍQUIDO</w:t>
            </w:r>
            <w:r>
              <w:rPr>
                <w:rFonts w:ascii="Arial" w:hAnsi="Arial" w:cs="Arial"/>
                <w:sz w:val="20"/>
                <w:szCs w:val="20"/>
                <w:lang w:eastAsia="es-UY"/>
              </w:rPr>
              <w:br/>
              <w:t>=Total das Receitas - Total das Despesas dedutíveis e permitidas.</w:t>
            </w:r>
          </w:p>
        </w:tc>
        <w:tc>
          <w:tcPr>
            <w:tcW w:w="2161"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CONTRIBUIÇÃO SOCIAL – CSLL</w:t>
            </w:r>
          </w:p>
        </w:tc>
        <w:tc>
          <w:tcPr>
            <w:tcW w:w="2161" w:type="dxa"/>
            <w:vAlign w:val="center"/>
          </w:tcPr>
          <w:p w:rsidR="007203E3" w:rsidRDefault="007203E3" w:rsidP="00E32F5E">
            <w:pPr>
              <w:widowControl w:val="0"/>
            </w:pPr>
            <w:r>
              <w:rPr>
                <w:rStyle w:val="Forte"/>
                <w:rFonts w:ascii="Arial" w:hAnsi="Arial" w:cs="Arial"/>
                <w:sz w:val="20"/>
                <w:szCs w:val="20"/>
                <w:lang w:eastAsia="es-UY"/>
              </w:rPr>
              <w:t>1,08%</w:t>
            </w:r>
            <w:r>
              <w:rPr>
                <w:rFonts w:ascii="Arial" w:hAnsi="Arial" w:cs="Arial"/>
                <w:sz w:val="20"/>
                <w:szCs w:val="20"/>
                <w:lang w:eastAsia="es-UY"/>
              </w:rPr>
              <w:t xml:space="preserve"> SOBRE O FATURAMENTO DE COMÉRCIO E INDÚSTRIA</w:t>
            </w:r>
          </w:p>
          <w:p w:rsidR="007203E3" w:rsidRDefault="007203E3" w:rsidP="00E32F5E">
            <w:pPr>
              <w:widowControl w:val="0"/>
              <w:spacing w:before="100" w:beforeAutospacing="1" w:after="100" w:afterAutospacing="1"/>
              <w:rPr>
                <w:sz w:val="24"/>
                <w:szCs w:val="24"/>
              </w:rPr>
            </w:pPr>
            <w:r>
              <w:rPr>
                <w:rStyle w:val="Forte"/>
                <w:rFonts w:ascii="Arial" w:hAnsi="Arial" w:cs="Arial"/>
                <w:sz w:val="20"/>
                <w:szCs w:val="20"/>
                <w:lang w:eastAsia="es-UY"/>
              </w:rPr>
              <w:t>2,88%</w:t>
            </w:r>
            <w:r>
              <w:rPr>
                <w:rFonts w:ascii="Arial" w:hAnsi="Arial" w:cs="Arial"/>
                <w:sz w:val="20"/>
                <w:szCs w:val="20"/>
                <w:lang w:eastAsia="es-UY"/>
              </w:rPr>
              <w:t xml:space="preserve"> SOBRE O FATURAMENTO DA PRESTADORA DE SERVIÇOS (EXCETO SERV. </w:t>
            </w:r>
            <w:r>
              <w:rPr>
                <w:rFonts w:ascii="Arial" w:hAnsi="Arial" w:cs="Arial"/>
                <w:sz w:val="20"/>
                <w:szCs w:val="20"/>
                <w:lang w:val="es-UY" w:eastAsia="es-UY"/>
              </w:rPr>
              <w:t>HOSPITALARES, TRANSP. CARGAS E PASSAGEIROS QUE É DE 1,08%).</w:t>
            </w:r>
            <w:proofErr w:type="gramStart"/>
            <w:r>
              <w:rPr>
                <w:rFonts w:ascii="Arial" w:hAnsi="Arial" w:cs="Arial"/>
                <w:sz w:val="20"/>
                <w:szCs w:val="20"/>
                <w:lang w:val="es-UY" w:eastAsia="es-UY"/>
              </w:rPr>
              <w:t>*</w:t>
            </w:r>
            <w:proofErr w:type="gramEnd"/>
          </w:p>
        </w:tc>
      </w:tr>
      <w:tr w:rsidR="007203E3" w:rsidTr="00E32F5E">
        <w:trPr>
          <w:jc w:val="center"/>
        </w:trPr>
        <w:tc>
          <w:tcPr>
            <w:tcW w:w="2250"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IMPOSTO DE RENDA – ADICIONAL</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10%</w:t>
            </w:r>
            <w:r>
              <w:rPr>
                <w:rFonts w:ascii="Arial" w:hAnsi="Arial" w:cs="Arial"/>
                <w:sz w:val="20"/>
                <w:szCs w:val="20"/>
                <w:lang w:eastAsia="es-UY"/>
              </w:rPr>
              <w:t xml:space="preserve"> APLICADO SOBRE A DIFERENÇA, QUANDO O LUCRO LÍQUIDO ULTRAPASSAR A R$ 60 MIL NO TRIMESTRE.</w:t>
            </w:r>
          </w:p>
        </w:tc>
        <w:tc>
          <w:tcPr>
            <w:tcW w:w="2161" w:type="dxa"/>
            <w:vAlign w:val="center"/>
          </w:tcPr>
          <w:p w:rsidR="007203E3" w:rsidRPr="00F25299" w:rsidRDefault="007203E3" w:rsidP="00E32F5E">
            <w:pPr>
              <w:widowControl w:val="0"/>
              <w:rPr>
                <w:b/>
                <w:sz w:val="24"/>
                <w:szCs w:val="24"/>
              </w:rPr>
            </w:pPr>
            <w:r w:rsidRPr="00F25299">
              <w:rPr>
                <w:rFonts w:ascii="Arial" w:hAnsi="Arial" w:cs="Arial"/>
                <w:b/>
                <w:sz w:val="15"/>
                <w:szCs w:val="15"/>
                <w:lang w:val="es-UY" w:eastAsia="es-UY"/>
              </w:rPr>
              <w:t>IMPOSTO DE RENDA – ADICIONAL</w:t>
            </w:r>
          </w:p>
        </w:tc>
        <w:tc>
          <w:tcPr>
            <w:tcW w:w="2161" w:type="dxa"/>
            <w:vAlign w:val="center"/>
          </w:tcPr>
          <w:p w:rsidR="007203E3" w:rsidRDefault="007203E3" w:rsidP="00E32F5E">
            <w:pPr>
              <w:widowControl w:val="0"/>
              <w:rPr>
                <w:sz w:val="24"/>
                <w:szCs w:val="24"/>
              </w:rPr>
            </w:pPr>
            <w:r>
              <w:rPr>
                <w:rStyle w:val="Forte"/>
                <w:rFonts w:ascii="Arial" w:hAnsi="Arial" w:cs="Arial"/>
                <w:sz w:val="20"/>
                <w:szCs w:val="20"/>
                <w:lang w:eastAsia="es-UY"/>
              </w:rPr>
              <w:t>10%</w:t>
            </w:r>
            <w:r>
              <w:rPr>
                <w:rFonts w:ascii="Arial" w:hAnsi="Arial" w:cs="Arial"/>
                <w:sz w:val="20"/>
                <w:szCs w:val="20"/>
                <w:lang w:eastAsia="es-UY"/>
              </w:rPr>
              <w:t xml:space="preserve"> APLICADO SOBRE A DIFERENÇA, QUANDO O LUCRO </w:t>
            </w:r>
            <w:r>
              <w:rPr>
                <w:rStyle w:val="nfase"/>
                <w:rFonts w:ascii="Arial" w:hAnsi="Arial" w:cs="Arial"/>
                <w:sz w:val="20"/>
                <w:szCs w:val="20"/>
                <w:lang w:eastAsia="es-UY"/>
              </w:rPr>
              <w:t>PRESUMIDO</w:t>
            </w:r>
            <w:r>
              <w:rPr>
                <w:rFonts w:ascii="Arial" w:hAnsi="Arial" w:cs="Arial"/>
                <w:sz w:val="20"/>
                <w:szCs w:val="20"/>
                <w:lang w:eastAsia="es-UY"/>
              </w:rPr>
              <w:t xml:space="preserve"> ULTRAPASSAR A R$ 60 MIL NO TRIMESTRE.</w:t>
            </w:r>
          </w:p>
        </w:tc>
      </w:tr>
    </w:tbl>
    <w:p w:rsidR="007203E3" w:rsidRDefault="007203E3" w:rsidP="007203E3">
      <w:pPr>
        <w:spacing w:after="0"/>
        <w:jc w:val="both"/>
        <w:rPr>
          <w:rFonts w:ascii="Arial" w:hAnsi="Arial" w:cs="Arial"/>
          <w:sz w:val="24"/>
          <w:szCs w:val="24"/>
        </w:rPr>
      </w:pPr>
      <w:r>
        <w:rPr>
          <w:rFonts w:ascii="Arial" w:hAnsi="Arial" w:cs="Arial"/>
          <w:sz w:val="20"/>
          <w:szCs w:val="20"/>
        </w:rPr>
        <w:t>Quadro: Legislação Federal Comparativo Tributário entre Lucro Real e Lucro Presumido para o Exercício de 2016.</w:t>
      </w:r>
    </w:p>
    <w:p w:rsidR="007203E3" w:rsidRDefault="007203E3" w:rsidP="007203E3">
      <w:pPr>
        <w:spacing w:after="0"/>
        <w:jc w:val="both"/>
        <w:rPr>
          <w:rFonts w:ascii="Arial" w:hAnsi="Arial" w:cs="Arial"/>
          <w:sz w:val="24"/>
          <w:szCs w:val="24"/>
        </w:rPr>
      </w:pPr>
    </w:p>
    <w:p w:rsidR="007203E3" w:rsidRDefault="007203E3" w:rsidP="007203E3">
      <w:pPr>
        <w:spacing w:after="0"/>
        <w:jc w:val="both"/>
        <w:rPr>
          <w:rFonts w:ascii="Arial" w:hAnsi="Arial" w:cs="Arial"/>
          <w:sz w:val="24"/>
          <w:szCs w:val="24"/>
        </w:rPr>
      </w:pPr>
    </w:p>
    <w:tbl>
      <w:tblPr>
        <w:tblStyle w:val="Tabelacomgrade"/>
        <w:tblW w:w="0" w:type="auto"/>
        <w:tblLook w:val="04A0"/>
      </w:tblPr>
      <w:tblGrid>
        <w:gridCol w:w="8644"/>
      </w:tblGrid>
      <w:tr w:rsidR="007203E3" w:rsidTr="00E32F5E">
        <w:tc>
          <w:tcPr>
            <w:tcW w:w="8644" w:type="dxa"/>
            <w:tcBorders>
              <w:bottom w:val="single" w:sz="4" w:space="0" w:color="auto"/>
            </w:tcBorders>
          </w:tcPr>
          <w:p w:rsidR="007203E3" w:rsidRPr="00380656" w:rsidRDefault="007203E3" w:rsidP="00E32F5E">
            <w:pPr>
              <w:spacing w:line="240" w:lineRule="atLeast"/>
              <w:jc w:val="center"/>
              <w:textAlignment w:val="baseline"/>
              <w:rPr>
                <w:rFonts w:ascii="Arial" w:eastAsia="Times New Roman" w:hAnsi="Arial" w:cs="Arial"/>
                <w:b/>
                <w:color w:val="000000"/>
                <w:sz w:val="24"/>
                <w:szCs w:val="24"/>
                <w:bdr w:val="none" w:sz="0" w:space="0" w:color="auto" w:frame="1"/>
                <w:lang w:eastAsia="pt-BR"/>
              </w:rPr>
            </w:pPr>
            <w:r w:rsidRPr="00380656">
              <w:rPr>
                <w:rFonts w:ascii="Arial" w:eastAsia="Times New Roman" w:hAnsi="Arial" w:cs="Arial"/>
                <w:b/>
                <w:color w:val="000000"/>
                <w:sz w:val="24"/>
                <w:szCs w:val="24"/>
                <w:bdr w:val="none" w:sz="0" w:space="0" w:color="auto" w:frame="1"/>
                <w:lang w:eastAsia="pt-BR"/>
              </w:rPr>
              <w:t>O ITCD INCIDE SOBRE AS SEGUINTES OPERAÇÕES</w:t>
            </w:r>
          </w:p>
        </w:tc>
      </w:tr>
      <w:tr w:rsidR="007203E3" w:rsidTr="00E32F5E">
        <w:tc>
          <w:tcPr>
            <w:tcW w:w="8644" w:type="dxa"/>
            <w:tcBorders>
              <w:left w:val="nil"/>
              <w:right w:val="nil"/>
            </w:tcBorders>
          </w:tcPr>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r w:rsidRPr="000F6162">
              <w:rPr>
                <w:rFonts w:ascii="Arial" w:eastAsia="Times New Roman" w:hAnsi="Arial" w:cs="Arial"/>
                <w:b/>
                <w:color w:val="000000"/>
                <w:sz w:val="24"/>
                <w:szCs w:val="24"/>
                <w:bdr w:val="none" w:sz="0" w:space="0" w:color="auto" w:frame="1"/>
                <w:lang w:eastAsia="pt-BR"/>
              </w:rPr>
              <w:t xml:space="preserve">- </w:t>
            </w:r>
            <w:r w:rsidRPr="000F6162">
              <w:rPr>
                <w:b/>
              </w:rPr>
              <w:t>sucessão legítima e testamentária, inclusive na instituição e substituição do objeto do fideicomisso;</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jc w:val="both"/>
              <w:textAlignment w:val="baseline"/>
              <w:rPr>
                <w:b/>
              </w:rPr>
            </w:pPr>
            <w:r w:rsidRPr="000F6162">
              <w:rPr>
                <w:b/>
              </w:rPr>
              <w:lastRenderedPageBreak/>
              <w:t>- na cessão, renúncia ou desistência, em favor de pessoa determinada ou quando já praticado algum ato de aceitação de herança, considerando o disposto no art.1807 do Código Civil;</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r w:rsidRPr="000F6162">
              <w:rPr>
                <w:b/>
              </w:rPr>
              <w:t>- doação, ainda que a título de adiantamento da legítima, seja de bens e/ou de numerários;</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r w:rsidRPr="000F6162">
              <w:rPr>
                <w:b/>
              </w:rPr>
              <w:t>- instituição de usufruto por ato não oneroso, extinção deste por falecimento do usufrutuário ou retorno ao nu proprietário, renúncia, observando que deve restar anotado na matrícula o número da guia de ITCD pela qual fora recolhido o ITCD/instituição de usufruto;</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jc w:val="both"/>
              <w:textAlignment w:val="baseline"/>
              <w:rPr>
                <w:b/>
              </w:rPr>
            </w:pPr>
            <w:r w:rsidRPr="000F6162">
              <w:rPr>
                <w:b/>
              </w:rPr>
              <w:t>- na desigualdade de valores da partilha, como a decorrente de inventário, arrolamento, separação ou divórcio;</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r w:rsidRPr="000F6162">
              <w:rPr>
                <w:b/>
              </w:rPr>
              <w:t xml:space="preserve">- aquisição de quaisquer bens por menores, estudantes, incapazes, </w:t>
            </w:r>
            <w:proofErr w:type="spellStart"/>
            <w:r w:rsidRPr="000F6162">
              <w:rPr>
                <w:b/>
              </w:rPr>
              <w:t>etc</w:t>
            </w:r>
            <w:proofErr w:type="spellEnd"/>
            <w:r w:rsidRPr="000F6162">
              <w:rPr>
                <w:b/>
              </w:rPr>
              <w:t xml:space="preserve"> com dinheiro dos pais e/ou outros, por exemplo, é fato gerador de ITCD e deverá ser preenchida a guia eletrônica para o devido recolhimento do ITCD doação, antes do registro em matrícula;</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jc w:val="both"/>
              <w:textAlignment w:val="baseline"/>
              <w:rPr>
                <w:rFonts w:ascii="Verdana" w:eastAsia="Times New Roman" w:hAnsi="Verdana" w:cs="Times New Roman"/>
                <w:b/>
                <w:color w:val="000000"/>
                <w:sz w:val="21"/>
                <w:szCs w:val="21"/>
                <w:bdr w:val="none" w:sz="0" w:space="0" w:color="auto" w:frame="1"/>
                <w:lang w:eastAsia="pt-BR"/>
              </w:rPr>
            </w:pPr>
            <w:r w:rsidRPr="000F6162">
              <w:rPr>
                <w:b/>
              </w:rPr>
              <w:t xml:space="preserve">- o registro ou arquivamento de qualquer ato relativo à constituição, alteração, dissolução e extinção de pessoa jurídica e de empresário, que implique transmissão não onerosa de bens ou direitos, realizado </w:t>
            </w:r>
            <w:proofErr w:type="gramStart"/>
            <w:r w:rsidRPr="000F6162">
              <w:rPr>
                <w:b/>
              </w:rPr>
              <w:t>perante a</w:t>
            </w:r>
            <w:proofErr w:type="gramEnd"/>
            <w:r w:rsidRPr="000F6162">
              <w:rPr>
                <w:b/>
              </w:rPr>
              <w:t xml:space="preserve"> JUCEMS.</w:t>
            </w:r>
          </w:p>
        </w:tc>
      </w:tr>
    </w:tbl>
    <w:p w:rsidR="007203E3" w:rsidRPr="00E43E69" w:rsidRDefault="007203E3" w:rsidP="007203E3">
      <w:pPr>
        <w:spacing w:after="0" w:line="240" w:lineRule="atLeast"/>
        <w:ind w:left="-142"/>
        <w:jc w:val="both"/>
        <w:textAlignment w:val="baseline"/>
        <w:rPr>
          <w:rFonts w:eastAsia="Times New Roman" w:cs="Times New Roman"/>
          <w:b/>
          <w:color w:val="000000"/>
          <w:sz w:val="24"/>
          <w:szCs w:val="21"/>
          <w:u w:val="single"/>
          <w:bdr w:val="none" w:sz="0" w:space="0" w:color="auto" w:frame="1"/>
          <w:lang w:eastAsia="pt-BR"/>
        </w:rPr>
      </w:pPr>
      <w:r w:rsidRPr="00E43E69">
        <w:rPr>
          <w:rFonts w:eastAsia="Times New Roman" w:cs="Times New Roman"/>
          <w:b/>
          <w:color w:val="000000"/>
          <w:sz w:val="24"/>
          <w:szCs w:val="21"/>
          <w:u w:val="single"/>
          <w:bdr w:val="none" w:sz="0" w:space="0" w:color="auto" w:frame="1"/>
          <w:lang w:eastAsia="pt-BR"/>
        </w:rPr>
        <w:t xml:space="preserve">Fonte: </w:t>
      </w:r>
      <w:proofErr w:type="spellStart"/>
      <w:proofErr w:type="gramStart"/>
      <w:r w:rsidRPr="00E43E69">
        <w:rPr>
          <w:rFonts w:eastAsia="Times New Roman" w:cs="Times New Roman"/>
          <w:b/>
          <w:color w:val="000000"/>
          <w:sz w:val="24"/>
          <w:szCs w:val="21"/>
          <w:u w:val="single"/>
          <w:bdr w:val="none" w:sz="0" w:space="0" w:color="auto" w:frame="1"/>
          <w:lang w:eastAsia="pt-BR"/>
        </w:rPr>
        <w:t>Sefaz-MS</w:t>
      </w:r>
      <w:proofErr w:type="spellEnd"/>
      <w:proofErr w:type="gramEnd"/>
    </w:p>
    <w:p w:rsidR="007203E3" w:rsidRDefault="007203E3" w:rsidP="007203E3">
      <w:pPr>
        <w:spacing w:after="0" w:line="240" w:lineRule="atLeast"/>
        <w:ind w:left="-142"/>
        <w:jc w:val="both"/>
        <w:textAlignment w:val="baseline"/>
        <w:rPr>
          <w:rFonts w:eastAsia="Times New Roman" w:cs="Times New Roman"/>
          <w:b/>
          <w:color w:val="000000"/>
          <w:szCs w:val="21"/>
          <w:bdr w:val="none" w:sz="0" w:space="0" w:color="auto" w:frame="1"/>
          <w:lang w:eastAsia="pt-BR"/>
        </w:rPr>
      </w:pPr>
    </w:p>
    <w:p w:rsidR="007203E3" w:rsidRPr="000F6162" w:rsidRDefault="007203E3" w:rsidP="007203E3">
      <w:pPr>
        <w:spacing w:after="0" w:line="240" w:lineRule="atLeast"/>
        <w:ind w:left="-142"/>
        <w:jc w:val="both"/>
        <w:textAlignment w:val="baseline"/>
        <w:rPr>
          <w:rFonts w:eastAsia="Times New Roman" w:cs="Times New Roman"/>
          <w:b/>
          <w:color w:val="000000"/>
          <w:szCs w:val="21"/>
          <w:bdr w:val="none" w:sz="0" w:space="0" w:color="auto" w:frame="1"/>
          <w:lang w:eastAsia="pt-BR"/>
        </w:rPr>
      </w:pPr>
    </w:p>
    <w:tbl>
      <w:tblPr>
        <w:tblStyle w:val="Tabelacomgrade"/>
        <w:tblW w:w="0" w:type="auto"/>
        <w:tblLook w:val="04A0"/>
      </w:tblPr>
      <w:tblGrid>
        <w:gridCol w:w="8644"/>
      </w:tblGrid>
      <w:tr w:rsidR="007203E3" w:rsidTr="00E32F5E">
        <w:tc>
          <w:tcPr>
            <w:tcW w:w="8644" w:type="dxa"/>
            <w:tcBorders>
              <w:bottom w:val="single" w:sz="4" w:space="0" w:color="auto"/>
            </w:tcBorders>
          </w:tcPr>
          <w:p w:rsidR="007203E3" w:rsidRPr="00380656" w:rsidRDefault="007203E3" w:rsidP="00E32F5E">
            <w:pPr>
              <w:spacing w:line="240" w:lineRule="atLeast"/>
              <w:jc w:val="center"/>
              <w:textAlignment w:val="baseline"/>
              <w:rPr>
                <w:rFonts w:ascii="Arial" w:eastAsia="Times New Roman" w:hAnsi="Arial" w:cs="Arial"/>
                <w:b/>
                <w:color w:val="000000"/>
                <w:sz w:val="24"/>
                <w:szCs w:val="24"/>
                <w:bdr w:val="none" w:sz="0" w:space="0" w:color="auto" w:frame="1"/>
                <w:lang w:eastAsia="pt-BR"/>
              </w:rPr>
            </w:pPr>
            <w:r w:rsidRPr="007F33CD">
              <w:rPr>
                <w:rFonts w:ascii="Arial" w:hAnsi="Arial" w:cs="Arial"/>
                <w:b/>
                <w:sz w:val="24"/>
              </w:rPr>
              <w:t xml:space="preserve">NOTAS IMPORTANTES SOBRE </w:t>
            </w:r>
            <w:proofErr w:type="gramStart"/>
            <w:r w:rsidRPr="007F33CD">
              <w:rPr>
                <w:rFonts w:ascii="Arial" w:hAnsi="Arial" w:cs="Arial"/>
                <w:b/>
                <w:sz w:val="24"/>
              </w:rPr>
              <w:t>UM</w:t>
            </w:r>
            <w:r>
              <w:rPr>
                <w:rFonts w:ascii="Arial" w:hAnsi="Arial" w:cs="Arial"/>
                <w:b/>
                <w:sz w:val="24"/>
              </w:rPr>
              <w:t>A</w:t>
            </w:r>
            <w:r w:rsidRPr="007F33CD">
              <w:rPr>
                <w:rFonts w:ascii="Arial" w:hAnsi="Arial" w:cs="Arial"/>
                <w:b/>
                <w:sz w:val="24"/>
              </w:rPr>
              <w:t xml:space="preserve"> HOLDING</w:t>
            </w:r>
            <w:proofErr w:type="gramEnd"/>
          </w:p>
        </w:tc>
      </w:tr>
      <w:tr w:rsidR="007203E3" w:rsidTr="00E32F5E">
        <w:tc>
          <w:tcPr>
            <w:tcW w:w="8644" w:type="dxa"/>
            <w:tcBorders>
              <w:left w:val="nil"/>
              <w:right w:val="nil"/>
            </w:tcBorders>
          </w:tcPr>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A TRANSFERÊNCIA DE IMÓVEIS PARA A EMPRESA HOLDING ENVOLVE PAGAMENTO DE IMPOSTO DE RENDA?</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 xml:space="preserve">NÃO, </w:t>
            </w:r>
            <w:proofErr w:type="gramStart"/>
            <w:r w:rsidRPr="00222576">
              <w:rPr>
                <w:rFonts w:ascii="Verdana" w:eastAsia="Times New Roman" w:hAnsi="Verdana" w:cs="Times New Roman"/>
                <w:color w:val="000000"/>
                <w:sz w:val="21"/>
                <w:szCs w:val="21"/>
                <w:bdr w:val="none" w:sz="0" w:space="0" w:color="auto" w:frame="1"/>
                <w:lang w:eastAsia="pt-BR"/>
              </w:rPr>
              <w:t>HAJA VISTO</w:t>
            </w:r>
            <w:proofErr w:type="gramEnd"/>
            <w:r w:rsidRPr="00222576">
              <w:rPr>
                <w:rFonts w:ascii="Verdana" w:eastAsia="Times New Roman" w:hAnsi="Verdana" w:cs="Times New Roman"/>
                <w:color w:val="000000"/>
                <w:sz w:val="21"/>
                <w:szCs w:val="21"/>
                <w:bdr w:val="none" w:sz="0" w:space="0" w:color="auto" w:frame="1"/>
                <w:lang w:eastAsia="pt-BR"/>
              </w:rPr>
              <w:t xml:space="preserve"> QUE A TRANSFERÊNCIA DE IMOVEIS SE DÁ PELO VALOR DO CUSTO DE AQUISIÇÃO.     ASSIM SENDO, NÃO </w:t>
            </w:r>
            <w:proofErr w:type="gramStart"/>
            <w:r w:rsidRPr="00222576">
              <w:rPr>
                <w:rFonts w:ascii="Verdana" w:eastAsia="Times New Roman" w:hAnsi="Verdana" w:cs="Times New Roman"/>
                <w:color w:val="000000"/>
                <w:sz w:val="21"/>
                <w:szCs w:val="21"/>
                <w:bdr w:val="none" w:sz="0" w:space="0" w:color="auto" w:frame="1"/>
                <w:lang w:eastAsia="pt-BR"/>
              </w:rPr>
              <w:t>HÁ GANHO</w:t>
            </w:r>
            <w:proofErr w:type="gramEnd"/>
            <w:r w:rsidRPr="00222576">
              <w:rPr>
                <w:rFonts w:ascii="Verdana" w:eastAsia="Times New Roman" w:hAnsi="Verdana" w:cs="Times New Roman"/>
                <w:color w:val="000000"/>
                <w:sz w:val="21"/>
                <w:szCs w:val="21"/>
                <w:bdr w:val="none" w:sz="0" w:space="0" w:color="auto" w:frame="1"/>
                <w:lang w:eastAsia="pt-BR"/>
              </w:rPr>
              <w:t xml:space="preserve"> DE CAPITAL NA PESSOA FÍSICA DO EMPRESÁRIO. </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E O ITBI?</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O ITBI PODE OU NÃO INCIDIR NA TRANSFERÊNCIA DE IMÓVEIS DO EMPRESÁRIO PARA A HOLDING.   SE A HOLDING TIVER ATIVIDADE PREDOMINANTEMENTE IMOBILIÁRIA, HAVERÁ O ITBI.</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O QUE SIGNIFICA ATIVIDADE PREDOMINANTE?</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 xml:space="preserve">SIGNIFICA QUE A RECEITA DA ATIVIDADE IMOBILIÁRIA SERÁ MAIOR DO QUE A RECEITA DA OUTRA ATIVIDADE </w:t>
            </w:r>
            <w:proofErr w:type="gramStart"/>
            <w:r w:rsidRPr="00222576">
              <w:rPr>
                <w:rFonts w:ascii="Verdana" w:eastAsia="Times New Roman" w:hAnsi="Verdana" w:cs="Times New Roman"/>
                <w:color w:val="000000"/>
                <w:sz w:val="21"/>
                <w:szCs w:val="21"/>
                <w:bdr w:val="none" w:sz="0" w:space="0" w:color="auto" w:frame="1"/>
                <w:lang w:eastAsia="pt-BR"/>
              </w:rPr>
              <w:t>DA HOLDING</w:t>
            </w:r>
            <w:proofErr w:type="gramEnd"/>
            <w:r w:rsidRPr="00222576">
              <w:rPr>
                <w:rFonts w:ascii="Verdana" w:eastAsia="Times New Roman" w:hAnsi="Verdana" w:cs="Times New Roman"/>
                <w:color w:val="000000"/>
                <w:sz w:val="21"/>
                <w:szCs w:val="21"/>
                <w:bdr w:val="none" w:sz="0" w:space="0" w:color="auto" w:frame="1"/>
                <w:lang w:eastAsia="pt-BR"/>
              </w:rPr>
              <w:t>.</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COMO SE PROCESSA A TRANSFERÊNCIA DAS AÇÕES DA EMPRESA HOLDING, ENTÃO EM PODER DO EMPRESÁRIO, PARA OS SEUS HERDEIROS?</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ESTA TRANSFERÊNCIA SE DÁ ATRAVÉS DE UMA DOAÇÃO PURA E SIMPLES.</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RPr="007203E3" w:rsidTr="00E32F5E">
        <w:tc>
          <w:tcPr>
            <w:tcW w:w="8644" w:type="dxa"/>
            <w:tcBorders>
              <w:bottom w:val="single" w:sz="4" w:space="0" w:color="auto"/>
            </w:tcBorders>
          </w:tcPr>
          <w:p w:rsidR="007203E3" w:rsidRPr="007203E3" w:rsidRDefault="007203E3" w:rsidP="00E32F5E">
            <w:pPr>
              <w:spacing w:line="240" w:lineRule="atLeast"/>
              <w:jc w:val="both"/>
              <w:textAlignment w:val="baseline"/>
              <w:rPr>
                <w:rFonts w:ascii="Times New Roman" w:eastAsia="Times New Roman" w:hAnsi="Times New Roman" w:cs="Times New Roman"/>
                <w:color w:val="FF0000"/>
                <w:sz w:val="27"/>
                <w:szCs w:val="27"/>
                <w:lang w:eastAsia="pt-BR"/>
              </w:rPr>
            </w:pPr>
            <w:r w:rsidRPr="007203E3">
              <w:rPr>
                <w:rFonts w:ascii="inherit" w:eastAsia="Times New Roman" w:hAnsi="inherit" w:cs="Times New Roman"/>
                <w:b/>
                <w:bCs/>
                <w:color w:val="FF0000"/>
                <w:sz w:val="21"/>
                <w:lang w:eastAsia="pt-BR"/>
              </w:rPr>
              <w:t>A DOAÇÃO TEM ENCARGOS TRIBUTÁRIOS?</w:t>
            </w:r>
          </w:p>
          <w:p w:rsidR="007203E3" w:rsidRPr="007203E3" w:rsidRDefault="007203E3" w:rsidP="00E32F5E">
            <w:pPr>
              <w:spacing w:line="240" w:lineRule="atLeast"/>
              <w:jc w:val="both"/>
              <w:textAlignment w:val="baseline"/>
              <w:rPr>
                <w:rFonts w:ascii="Times New Roman" w:eastAsia="Times New Roman" w:hAnsi="Times New Roman" w:cs="Times New Roman"/>
                <w:color w:val="FF0000"/>
                <w:sz w:val="27"/>
                <w:szCs w:val="27"/>
                <w:lang w:eastAsia="pt-BR"/>
              </w:rPr>
            </w:pPr>
            <w:r w:rsidRPr="007203E3">
              <w:rPr>
                <w:rFonts w:ascii="Verdana" w:eastAsia="Times New Roman" w:hAnsi="Verdana" w:cs="Times New Roman"/>
                <w:color w:val="FF0000"/>
                <w:sz w:val="21"/>
                <w:szCs w:val="21"/>
                <w:bdr w:val="none" w:sz="0" w:space="0" w:color="auto" w:frame="1"/>
                <w:lang w:eastAsia="pt-BR"/>
              </w:rPr>
              <w:t>SIM.     A DOAÇÃO ESTÁ SUJEITA AO ITCD.    </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CITE ALGUM DETALHE IMPORTANTE DESTA DOAÇÃO DENTRO DO PLANEJAMENTO PATRIMONIAL SUCESSÓRIO?</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A DOAÇÃO, PELO FATO DE SER UM ATO GRATUITO, PERMITE QUE O EMPRESÁRIO FORMALIZE ALGUMAS PRECAUÇÕES.</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QUAIS PRECAUÇÕES?</w:t>
            </w:r>
          </w:p>
          <w:p w:rsidR="007203E3" w:rsidRPr="000F6162" w:rsidRDefault="007203E3" w:rsidP="00E32F5E">
            <w:pPr>
              <w:spacing w:line="240" w:lineRule="atLeast"/>
              <w:jc w:val="both"/>
              <w:textAlignment w:val="baseline"/>
              <w:rPr>
                <w:rFonts w:ascii="Verdana" w:eastAsia="Times New Roman" w:hAnsi="Verdana" w:cs="Times New Roman"/>
                <w:b/>
                <w:color w:val="000000"/>
                <w:sz w:val="21"/>
                <w:szCs w:val="21"/>
                <w:bdr w:val="none" w:sz="0" w:space="0" w:color="auto" w:frame="1"/>
                <w:lang w:eastAsia="pt-BR"/>
              </w:rPr>
            </w:pPr>
            <w:r w:rsidRPr="00222576">
              <w:rPr>
                <w:rFonts w:ascii="Verdana" w:eastAsia="Times New Roman" w:hAnsi="Verdana" w:cs="Times New Roman"/>
                <w:color w:val="000000"/>
                <w:sz w:val="21"/>
                <w:szCs w:val="21"/>
                <w:bdr w:val="none" w:sz="0" w:space="0" w:color="auto" w:frame="1"/>
                <w:lang w:eastAsia="pt-BR"/>
              </w:rPr>
              <w:t xml:space="preserve">O EMPRESÁRIO PODE GRAVAR A DOAÇÃO COM TRES CLÁUSULAS, QUAIS SEJAM – INCOMUNICABILIDADE, INALIENABILIDADE E </w:t>
            </w:r>
            <w:proofErr w:type="gramStart"/>
            <w:r w:rsidRPr="00222576">
              <w:rPr>
                <w:rFonts w:ascii="Verdana" w:eastAsia="Times New Roman" w:hAnsi="Verdana" w:cs="Times New Roman"/>
                <w:color w:val="000000"/>
                <w:sz w:val="21"/>
                <w:szCs w:val="21"/>
                <w:bdr w:val="none" w:sz="0" w:space="0" w:color="auto" w:frame="1"/>
                <w:lang w:eastAsia="pt-BR"/>
              </w:rPr>
              <w:t>IMPENHORABILIDADE</w:t>
            </w:r>
            <w:proofErr w:type="gramEnd"/>
          </w:p>
        </w:tc>
      </w:tr>
      <w:tr w:rsidR="007203E3" w:rsidTr="00E32F5E">
        <w:tc>
          <w:tcPr>
            <w:tcW w:w="8644" w:type="dxa"/>
            <w:tcBorders>
              <w:left w:val="nil"/>
              <w:right w:val="nil"/>
            </w:tcBorders>
          </w:tcPr>
          <w:p w:rsidR="007203E3" w:rsidRPr="00222576" w:rsidRDefault="007203E3" w:rsidP="00E32F5E">
            <w:pPr>
              <w:spacing w:line="240" w:lineRule="atLeast"/>
              <w:jc w:val="both"/>
              <w:textAlignment w:val="baseline"/>
              <w:rPr>
                <w:rFonts w:ascii="inherit" w:eastAsia="Times New Roman" w:hAnsi="inherit" w:cs="Times New Roman"/>
                <w:b/>
                <w:bCs/>
                <w:color w:val="000000"/>
                <w:sz w:val="21"/>
                <w:lang w:eastAsia="pt-BR"/>
              </w:rPr>
            </w:pPr>
          </w:p>
        </w:tc>
      </w:tr>
      <w:tr w:rsidR="007203E3" w:rsidTr="00E32F5E">
        <w:tc>
          <w:tcPr>
            <w:tcW w:w="8644" w:type="dxa"/>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O QUE SIGNIFICA CLÁUSULA DE INCOMUNICABILIDADE?</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A DOAÇÃO ALCANÇA APENAS O HERDEIRO DO EMPRESÁRIO, NÃO ENVOLVENDO O SEU CONJUGE, SEJA QUAL FOR O REGIME DE CASAMENTO DO HERDEIRO.</w:t>
            </w:r>
          </w:p>
        </w:tc>
      </w:tr>
      <w:tr w:rsidR="007203E3" w:rsidTr="00E32F5E">
        <w:tc>
          <w:tcPr>
            <w:tcW w:w="8644" w:type="dxa"/>
            <w:tcBorders>
              <w:left w:val="nil"/>
              <w:right w:val="nil"/>
            </w:tcBorders>
          </w:tcPr>
          <w:p w:rsidR="007203E3" w:rsidRPr="00222576" w:rsidRDefault="007203E3" w:rsidP="00E32F5E">
            <w:pPr>
              <w:spacing w:line="240" w:lineRule="atLeast"/>
              <w:jc w:val="both"/>
              <w:textAlignment w:val="baseline"/>
              <w:rPr>
                <w:rFonts w:ascii="inherit" w:eastAsia="Times New Roman" w:hAnsi="inherit" w:cs="Times New Roman"/>
                <w:b/>
                <w:bCs/>
                <w:color w:val="000000"/>
                <w:sz w:val="2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E AS CLÁUSULAS DE INALIENABILIDADE E IMPENHORABILIDADE?</w:t>
            </w:r>
          </w:p>
          <w:p w:rsidR="007203E3" w:rsidRPr="006A6C7F"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Verdana" w:eastAsia="Times New Roman" w:hAnsi="Verdana" w:cs="Times New Roman"/>
                <w:color w:val="000000"/>
                <w:sz w:val="21"/>
                <w:szCs w:val="21"/>
                <w:bdr w:val="none" w:sz="0" w:space="0" w:color="auto" w:frame="1"/>
                <w:lang w:eastAsia="pt-BR"/>
              </w:rPr>
              <w:t>EM LINHAS GERAIS, A CLÁUSULA DE INALIENABILIDADE NÃO PERMITE</w:t>
            </w:r>
            <w:proofErr w:type="gramStart"/>
            <w:r w:rsidRPr="00222576">
              <w:rPr>
                <w:rFonts w:ascii="Verdana" w:eastAsia="Times New Roman" w:hAnsi="Verdana" w:cs="Times New Roman"/>
                <w:color w:val="000000"/>
                <w:sz w:val="21"/>
                <w:szCs w:val="21"/>
                <w:bdr w:val="none" w:sz="0" w:space="0" w:color="auto" w:frame="1"/>
                <w:lang w:eastAsia="pt-BR"/>
              </w:rPr>
              <w:t xml:space="preserve">  </w:t>
            </w:r>
            <w:proofErr w:type="gramEnd"/>
            <w:r w:rsidRPr="00222576">
              <w:rPr>
                <w:rFonts w:ascii="Verdana" w:eastAsia="Times New Roman" w:hAnsi="Verdana" w:cs="Times New Roman"/>
                <w:color w:val="000000"/>
                <w:sz w:val="21"/>
                <w:szCs w:val="21"/>
                <w:bdr w:val="none" w:sz="0" w:space="0" w:color="auto" w:frame="1"/>
                <w:lang w:eastAsia="pt-BR"/>
              </w:rPr>
              <w:t>QUE O BEM DOADO SEJA OBJETO DE VENDA E A CLÁUSULA DE IMPENHORABILIDADE NÃO  PERMITE QUE O BEM DOADO SEJA OBJETO DE PENHORA.</w:t>
            </w:r>
          </w:p>
        </w:tc>
      </w:tr>
      <w:tr w:rsidR="007203E3" w:rsidTr="00E32F5E">
        <w:tc>
          <w:tcPr>
            <w:tcW w:w="8644" w:type="dxa"/>
            <w:tcBorders>
              <w:left w:val="nil"/>
              <w:right w:val="nil"/>
            </w:tcBorders>
          </w:tcPr>
          <w:p w:rsidR="007203E3" w:rsidRPr="00222576" w:rsidRDefault="007203E3" w:rsidP="00E32F5E">
            <w:pPr>
              <w:spacing w:line="240" w:lineRule="atLeast"/>
              <w:jc w:val="both"/>
              <w:textAlignment w:val="baseline"/>
              <w:rPr>
                <w:rFonts w:ascii="inherit" w:eastAsia="Times New Roman" w:hAnsi="inherit" w:cs="Times New Roman"/>
                <w:b/>
                <w:bCs/>
                <w:color w:val="000000"/>
                <w:sz w:val="21"/>
                <w:lang w:eastAsia="pt-BR"/>
              </w:rPr>
            </w:pPr>
          </w:p>
        </w:tc>
      </w:tr>
      <w:tr w:rsidR="007203E3" w:rsidTr="00E32F5E">
        <w:tc>
          <w:tcPr>
            <w:tcW w:w="8644" w:type="dxa"/>
            <w:tcBorders>
              <w:bottom w:val="single" w:sz="4" w:space="0" w:color="auto"/>
            </w:tcBorders>
          </w:tcPr>
          <w:p w:rsidR="007203E3" w:rsidRPr="00222576" w:rsidRDefault="007203E3" w:rsidP="00E32F5E">
            <w:pPr>
              <w:spacing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inherit" w:eastAsia="Times New Roman" w:hAnsi="inherit" w:cs="Times New Roman"/>
                <w:b/>
                <w:bCs/>
                <w:color w:val="000000"/>
                <w:sz w:val="21"/>
                <w:lang w:eastAsia="pt-BR"/>
              </w:rPr>
              <w:t>O QUE VEM A SER ESTA CONDIÇÃO RESOLUTIVA?</w:t>
            </w:r>
          </w:p>
          <w:p w:rsidR="007203E3" w:rsidRPr="006A6C7F" w:rsidRDefault="007203E3" w:rsidP="00E32F5E">
            <w:pPr>
              <w:spacing w:line="240" w:lineRule="atLeast"/>
              <w:jc w:val="both"/>
              <w:textAlignment w:val="baseline"/>
              <w:rPr>
                <w:rFonts w:ascii="Verdana" w:eastAsia="Times New Roman" w:hAnsi="Verdana" w:cs="Times New Roman"/>
                <w:color w:val="000000"/>
                <w:sz w:val="21"/>
                <w:szCs w:val="21"/>
                <w:bdr w:val="none" w:sz="0" w:space="0" w:color="auto" w:frame="1"/>
                <w:lang w:eastAsia="pt-BR"/>
              </w:rPr>
            </w:pPr>
            <w:r w:rsidRPr="00222576">
              <w:rPr>
                <w:rFonts w:ascii="Verdana" w:eastAsia="Times New Roman" w:hAnsi="Verdana" w:cs="Times New Roman"/>
                <w:color w:val="000000"/>
                <w:sz w:val="21"/>
                <w:szCs w:val="21"/>
                <w:bdr w:val="none" w:sz="0" w:space="0" w:color="auto" w:frame="1"/>
                <w:lang w:eastAsia="pt-BR"/>
              </w:rPr>
              <w:t>REPRESENTA A FORMALIZAÇÃO DE CONDIÇÕES QUE, SE NÃO CUMPRIDAS, ANULA A DOAÇÃO.</w:t>
            </w:r>
          </w:p>
        </w:tc>
      </w:tr>
    </w:tbl>
    <w:p w:rsidR="007203E3" w:rsidRPr="00222576" w:rsidRDefault="007203E3" w:rsidP="007203E3">
      <w:pPr>
        <w:spacing w:after="0" w:line="240" w:lineRule="atLeast"/>
        <w:jc w:val="both"/>
        <w:textAlignment w:val="baseline"/>
        <w:rPr>
          <w:rFonts w:ascii="Times New Roman" w:eastAsia="Times New Roman" w:hAnsi="Times New Roman" w:cs="Times New Roman"/>
          <w:color w:val="000000"/>
          <w:sz w:val="27"/>
          <w:szCs w:val="27"/>
          <w:lang w:eastAsia="pt-BR"/>
        </w:rPr>
      </w:pPr>
      <w:r w:rsidRPr="00222576">
        <w:rPr>
          <w:rFonts w:ascii="Times New Roman" w:eastAsia="Times New Roman" w:hAnsi="Times New Roman" w:cs="Times New Roman"/>
          <w:color w:val="000000"/>
          <w:sz w:val="27"/>
          <w:szCs w:val="27"/>
          <w:lang w:eastAsia="pt-BR"/>
        </w:rPr>
        <w:t> </w:t>
      </w:r>
    </w:p>
    <w:p w:rsidR="007203E3" w:rsidRDefault="007203E3" w:rsidP="007203E3">
      <w:pPr>
        <w:spacing w:after="0"/>
        <w:jc w:val="both"/>
        <w:rPr>
          <w:rFonts w:ascii="Arial" w:hAnsi="Arial" w:cs="Arial"/>
          <w:sz w:val="24"/>
          <w:szCs w:val="24"/>
        </w:rPr>
      </w:pPr>
    </w:p>
    <w:p w:rsidR="007203E3" w:rsidRDefault="007203E3" w:rsidP="007203E3">
      <w:pPr>
        <w:spacing w:after="0"/>
        <w:jc w:val="both"/>
        <w:rPr>
          <w:rFonts w:ascii="Arial" w:hAnsi="Arial" w:cs="Arial"/>
          <w:sz w:val="24"/>
          <w:szCs w:val="24"/>
        </w:rPr>
      </w:pPr>
    </w:p>
    <w:tbl>
      <w:tblPr>
        <w:tblStyle w:val="Tabelacomgrade"/>
        <w:tblW w:w="0" w:type="auto"/>
        <w:tblLook w:val="04A0"/>
      </w:tblPr>
      <w:tblGrid>
        <w:gridCol w:w="8644"/>
      </w:tblGrid>
      <w:tr w:rsidR="007203E3" w:rsidTr="00E32F5E">
        <w:tc>
          <w:tcPr>
            <w:tcW w:w="8644" w:type="dxa"/>
            <w:tcBorders>
              <w:bottom w:val="single" w:sz="4" w:space="0" w:color="auto"/>
            </w:tcBorders>
          </w:tcPr>
          <w:p w:rsidR="007203E3" w:rsidRPr="00380656" w:rsidRDefault="007203E3" w:rsidP="00E32F5E">
            <w:pPr>
              <w:spacing w:line="240" w:lineRule="atLeast"/>
              <w:jc w:val="center"/>
              <w:textAlignment w:val="baseline"/>
              <w:rPr>
                <w:rFonts w:ascii="Arial" w:eastAsia="Times New Roman" w:hAnsi="Arial" w:cs="Arial"/>
                <w:b/>
                <w:color w:val="000000"/>
                <w:sz w:val="24"/>
                <w:szCs w:val="24"/>
                <w:bdr w:val="none" w:sz="0" w:space="0" w:color="auto" w:frame="1"/>
                <w:lang w:eastAsia="pt-BR"/>
              </w:rPr>
            </w:pPr>
            <w:r>
              <w:rPr>
                <w:rFonts w:ascii="Arial" w:eastAsia="Times New Roman" w:hAnsi="Arial" w:cs="Arial"/>
                <w:b/>
                <w:color w:val="000000"/>
                <w:sz w:val="24"/>
                <w:szCs w:val="24"/>
                <w:bdr w:val="none" w:sz="0" w:space="0" w:color="auto" w:frame="1"/>
                <w:lang w:eastAsia="pt-BR"/>
              </w:rPr>
              <w:t>INSENÇÃO DO</w:t>
            </w:r>
            <w:r w:rsidRPr="00380656">
              <w:rPr>
                <w:rFonts w:ascii="Arial" w:eastAsia="Times New Roman" w:hAnsi="Arial" w:cs="Arial"/>
                <w:b/>
                <w:color w:val="000000"/>
                <w:sz w:val="24"/>
                <w:szCs w:val="24"/>
                <w:bdr w:val="none" w:sz="0" w:space="0" w:color="auto" w:frame="1"/>
                <w:lang w:eastAsia="pt-BR"/>
              </w:rPr>
              <w:t xml:space="preserve"> ITCD</w:t>
            </w:r>
            <w:r>
              <w:rPr>
                <w:rFonts w:ascii="Arial" w:eastAsia="Times New Roman" w:hAnsi="Arial" w:cs="Arial"/>
                <w:b/>
                <w:color w:val="000000"/>
                <w:sz w:val="24"/>
                <w:szCs w:val="24"/>
                <w:bdr w:val="none" w:sz="0" w:space="0" w:color="auto" w:frame="1"/>
                <w:lang w:eastAsia="pt-BR"/>
              </w:rPr>
              <w:t>:</w:t>
            </w:r>
          </w:p>
        </w:tc>
      </w:tr>
      <w:tr w:rsidR="007203E3" w:rsidTr="00E32F5E">
        <w:tc>
          <w:tcPr>
            <w:tcW w:w="8644" w:type="dxa"/>
            <w:tcBorders>
              <w:left w:val="nil"/>
              <w:right w:val="nil"/>
            </w:tcBorders>
          </w:tcPr>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r>
              <w:rPr>
                <w:rFonts w:ascii="Verdana" w:hAnsi="Verdana"/>
                <w:i/>
                <w:iCs/>
              </w:rPr>
              <w:t>I - as doações de bens e direitos cujos valores não ultrapassem R$ 50.000,00 (cinquenta mil reais), observado, no caso de doações sucessivas, o disposto nos §§ 1º ao 3º deste artigo;</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Default="007203E3" w:rsidP="00E32F5E">
            <w:pPr>
              <w:spacing w:line="240" w:lineRule="atLeast"/>
              <w:jc w:val="both"/>
              <w:textAlignment w:val="baseline"/>
              <w:rPr>
                <w:rFonts w:ascii="Verdana" w:hAnsi="Verdana"/>
                <w:i/>
                <w:iCs/>
              </w:rPr>
            </w:pPr>
            <w:r>
              <w:rPr>
                <w:rFonts w:ascii="Verdana" w:hAnsi="Verdana"/>
                <w:i/>
                <w:iCs/>
              </w:rPr>
              <w:t xml:space="preserve">II - as transmissões causa </w:t>
            </w:r>
            <w:proofErr w:type="spellStart"/>
            <w:r>
              <w:rPr>
                <w:rFonts w:ascii="Verdana" w:hAnsi="Verdana"/>
                <w:i/>
                <w:iCs/>
              </w:rPr>
              <w:t>mortis</w:t>
            </w:r>
            <w:proofErr w:type="spellEnd"/>
            <w:r>
              <w:rPr>
                <w:rFonts w:ascii="Verdana" w:hAnsi="Verdana"/>
                <w:i/>
                <w:iCs/>
              </w:rPr>
              <w:t xml:space="preserve"> de bem imóvel:</w:t>
            </w:r>
          </w:p>
          <w:p w:rsidR="007203E3" w:rsidRDefault="007203E3" w:rsidP="00E32F5E">
            <w:pPr>
              <w:spacing w:line="240" w:lineRule="atLeast"/>
              <w:jc w:val="both"/>
              <w:textAlignment w:val="baseline"/>
              <w:rPr>
                <w:rFonts w:ascii="Verdana" w:hAnsi="Verdana"/>
                <w:i/>
                <w:iCs/>
              </w:rPr>
            </w:pPr>
          </w:p>
          <w:p w:rsidR="007203E3" w:rsidRDefault="007203E3" w:rsidP="00E32F5E">
            <w:pPr>
              <w:spacing w:line="240" w:lineRule="atLeast"/>
              <w:jc w:val="both"/>
              <w:textAlignment w:val="baseline"/>
              <w:rPr>
                <w:rFonts w:ascii="Verdana" w:hAnsi="Verdana"/>
                <w:i/>
                <w:iCs/>
              </w:rPr>
            </w:pPr>
            <w:r>
              <w:rPr>
                <w:rFonts w:ascii="Verdana" w:hAnsi="Verdana"/>
                <w:i/>
                <w:iCs/>
              </w:rPr>
              <w:t>a) sendo rural, sua área não ultrapasse o módulo da região e seja destinado aos herdeiros;</w:t>
            </w:r>
          </w:p>
          <w:p w:rsidR="007203E3" w:rsidRPr="001608BD" w:rsidRDefault="007203E3" w:rsidP="00E32F5E">
            <w:pPr>
              <w:spacing w:line="240" w:lineRule="atLeast"/>
              <w:jc w:val="both"/>
              <w:textAlignment w:val="baseline"/>
              <w:rPr>
                <w:rFonts w:ascii="Verdana" w:hAnsi="Verdana"/>
                <w:i/>
                <w:iCs/>
              </w:rPr>
            </w:pPr>
            <w:r>
              <w:rPr>
                <w:rFonts w:ascii="Verdana" w:hAnsi="Verdana"/>
                <w:i/>
                <w:iCs/>
              </w:rPr>
              <w:t> </w:t>
            </w:r>
            <w:r>
              <w:br/>
            </w:r>
            <w:r>
              <w:rPr>
                <w:rFonts w:ascii="Verdana" w:hAnsi="Verdana"/>
                <w:i/>
                <w:iCs/>
              </w:rPr>
              <w:t>b) sendo urbano, apresente construção residencial de padrão popular ou inferior e seja utilizada como habitação dos herdeiros;</w:t>
            </w:r>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Default="007203E3" w:rsidP="00E32F5E">
            <w:pPr>
              <w:spacing w:line="240" w:lineRule="atLeast"/>
              <w:jc w:val="both"/>
              <w:textAlignment w:val="baseline"/>
              <w:rPr>
                <w:rFonts w:ascii="Verdana" w:hAnsi="Verdana"/>
                <w:i/>
                <w:iCs/>
              </w:rPr>
            </w:pPr>
            <w:r>
              <w:rPr>
                <w:rFonts w:ascii="Verdana" w:hAnsi="Verdana"/>
                <w:i/>
                <w:iCs/>
              </w:rPr>
              <w:t xml:space="preserve">III - as transmissões causa </w:t>
            </w:r>
            <w:proofErr w:type="spellStart"/>
            <w:r>
              <w:rPr>
                <w:rFonts w:ascii="Verdana" w:hAnsi="Verdana"/>
                <w:i/>
                <w:iCs/>
              </w:rPr>
              <w:t>mortis</w:t>
            </w:r>
            <w:proofErr w:type="spellEnd"/>
            <w:r>
              <w:rPr>
                <w:rFonts w:ascii="Verdana" w:hAnsi="Verdana"/>
                <w:i/>
                <w:iCs/>
              </w:rPr>
              <w:t xml:space="preserve"> de bens e direitos cujos valores não ultrapassem R$ 50.000,00 (cinquenta mil reais).</w:t>
            </w:r>
          </w:p>
          <w:p w:rsidR="007203E3" w:rsidRDefault="007203E3" w:rsidP="00E32F5E">
            <w:pPr>
              <w:spacing w:line="240" w:lineRule="atLeast"/>
              <w:jc w:val="both"/>
              <w:textAlignment w:val="baseline"/>
              <w:rPr>
                <w:rFonts w:ascii="Verdana" w:hAnsi="Verdana"/>
                <w:i/>
                <w:iCs/>
              </w:rPr>
            </w:pPr>
            <w:r>
              <w:rPr>
                <w:rFonts w:ascii="Verdana" w:hAnsi="Verdana"/>
                <w:i/>
                <w:iCs/>
              </w:rPr>
              <w:t> </w:t>
            </w:r>
            <w:r>
              <w:br/>
            </w:r>
            <w:r>
              <w:rPr>
                <w:rFonts w:ascii="Verdana" w:hAnsi="Verdana"/>
                <w:i/>
                <w:iCs/>
              </w:rPr>
              <w:t>§ 1º No caso de doações sucessivas, a isenção prevista no inciso I do caput deste artigo não se aplica àquelas que ocorrerem após os valores das doações anteriores, que, somados, atingirem o limite nele estabelecido, observado o disposto nos §§ 2º e 3º deste artigo.</w:t>
            </w:r>
          </w:p>
          <w:p w:rsidR="007203E3" w:rsidRDefault="007203E3" w:rsidP="00E32F5E">
            <w:pPr>
              <w:spacing w:line="240" w:lineRule="atLeast"/>
              <w:jc w:val="both"/>
              <w:textAlignment w:val="baseline"/>
              <w:rPr>
                <w:rFonts w:ascii="Verdana" w:hAnsi="Verdana"/>
                <w:i/>
                <w:iCs/>
              </w:rPr>
            </w:pPr>
            <w:r>
              <w:rPr>
                <w:rFonts w:ascii="Verdana" w:hAnsi="Verdana"/>
                <w:i/>
                <w:iCs/>
              </w:rPr>
              <w:lastRenderedPageBreak/>
              <w:t> </w:t>
            </w:r>
            <w:r>
              <w:br/>
            </w:r>
            <w:r>
              <w:rPr>
                <w:rFonts w:ascii="Verdana" w:hAnsi="Verdana"/>
                <w:i/>
                <w:iCs/>
              </w:rPr>
              <w:t>§ 2º Para efeito do § 1º deste artigo:</w:t>
            </w:r>
          </w:p>
          <w:p w:rsidR="007203E3" w:rsidRDefault="007203E3" w:rsidP="00E32F5E">
            <w:pPr>
              <w:spacing w:line="240" w:lineRule="atLeast"/>
              <w:jc w:val="both"/>
              <w:textAlignment w:val="baseline"/>
              <w:rPr>
                <w:rFonts w:ascii="Verdana" w:hAnsi="Verdana"/>
                <w:i/>
                <w:iCs/>
              </w:rPr>
            </w:pPr>
            <w:r>
              <w:rPr>
                <w:rFonts w:ascii="Verdana" w:hAnsi="Verdana"/>
                <w:i/>
                <w:iCs/>
              </w:rPr>
              <w:t> </w:t>
            </w:r>
            <w:r>
              <w:br/>
            </w:r>
            <w:r>
              <w:rPr>
                <w:rFonts w:ascii="Verdana" w:hAnsi="Verdana"/>
                <w:i/>
                <w:iCs/>
              </w:rPr>
              <w:t>I - são sucessivas, quando mais de uma, as doações entre o mesmo doador e o mesmo donatário, realizadas no período de doze meses;</w:t>
            </w:r>
            <w:r>
              <w:br/>
            </w:r>
            <w:r>
              <w:rPr>
                <w:rFonts w:ascii="Verdana" w:hAnsi="Verdana"/>
                <w:i/>
                <w:iCs/>
              </w:rPr>
              <w:t> </w:t>
            </w:r>
            <w:r>
              <w:br/>
            </w:r>
            <w:r>
              <w:rPr>
                <w:rFonts w:ascii="Verdana" w:hAnsi="Verdana"/>
                <w:i/>
                <w:iCs/>
              </w:rPr>
              <w:t>II - o período de doze meses a que se refere o inciso I deste parágrafo inicia-se, conforme o caso:</w:t>
            </w:r>
          </w:p>
          <w:p w:rsidR="007203E3" w:rsidRDefault="007203E3" w:rsidP="00E32F5E">
            <w:pPr>
              <w:spacing w:line="240" w:lineRule="atLeast"/>
              <w:jc w:val="both"/>
              <w:textAlignment w:val="baseline"/>
              <w:rPr>
                <w:rFonts w:ascii="Verdana" w:hAnsi="Verdana"/>
                <w:i/>
                <w:iCs/>
              </w:rPr>
            </w:pPr>
            <w:r>
              <w:rPr>
                <w:rFonts w:ascii="Verdana" w:hAnsi="Verdana"/>
                <w:i/>
                <w:iCs/>
              </w:rPr>
              <w:t> </w:t>
            </w:r>
            <w:r>
              <w:br/>
            </w:r>
            <w:r>
              <w:rPr>
                <w:rFonts w:ascii="Verdana" w:hAnsi="Verdana"/>
                <w:i/>
                <w:iCs/>
              </w:rPr>
              <w:t>a) na data da ocorrência de primeira doação, em valor inferior ao limite; ou</w:t>
            </w:r>
            <w:r>
              <w:br/>
            </w:r>
            <w:r>
              <w:rPr>
                <w:rFonts w:ascii="Verdana" w:hAnsi="Verdana"/>
                <w:i/>
                <w:iCs/>
              </w:rPr>
              <w:t> </w:t>
            </w:r>
            <w:r>
              <w:br/>
            </w:r>
            <w:r>
              <w:rPr>
                <w:rFonts w:ascii="Verdana" w:hAnsi="Verdana"/>
                <w:i/>
                <w:iCs/>
              </w:rPr>
              <w:t>b) na data da primeira doação, em valor inferior ao limite, que ocorrer após o encerramento de período anterior em que tenham sido feitas doações sucessivas.</w:t>
            </w:r>
          </w:p>
          <w:p w:rsidR="007203E3" w:rsidRDefault="007203E3" w:rsidP="00E32F5E">
            <w:pPr>
              <w:spacing w:line="240" w:lineRule="atLeast"/>
              <w:jc w:val="both"/>
              <w:textAlignment w:val="baseline"/>
              <w:rPr>
                <w:rFonts w:ascii="Verdana" w:hAnsi="Verdana"/>
                <w:i/>
                <w:iCs/>
              </w:rPr>
            </w:pPr>
          </w:p>
          <w:p w:rsidR="007203E3" w:rsidRDefault="007203E3" w:rsidP="00E32F5E">
            <w:pPr>
              <w:spacing w:line="240" w:lineRule="atLeast"/>
              <w:jc w:val="both"/>
              <w:textAlignment w:val="baseline"/>
              <w:rPr>
                <w:rFonts w:ascii="Verdana" w:hAnsi="Verdana"/>
                <w:i/>
                <w:iCs/>
              </w:rPr>
            </w:pPr>
            <w:r>
              <w:rPr>
                <w:rFonts w:ascii="Verdana" w:hAnsi="Verdana"/>
                <w:i/>
                <w:iCs/>
              </w:rPr>
              <w:t>§ 3º Nos casos em que, nas doações sucessivas, para atingir o limite previsto no caput deste artigo, depender de parcela do valor da doação subsequente, o imposto relativo a essa doação será devido sobre o valor que exceder essa parcela.</w:t>
            </w:r>
          </w:p>
          <w:p w:rsidR="007203E3" w:rsidRPr="000F6162" w:rsidRDefault="007203E3" w:rsidP="00E32F5E">
            <w:pPr>
              <w:spacing w:line="240" w:lineRule="atLeast"/>
              <w:jc w:val="both"/>
              <w:textAlignment w:val="baseline"/>
              <w:rPr>
                <w:rFonts w:ascii="Arial" w:eastAsia="Times New Roman" w:hAnsi="Arial" w:cs="Arial"/>
                <w:b/>
                <w:color w:val="000000"/>
                <w:sz w:val="24"/>
                <w:szCs w:val="24"/>
                <w:bdr w:val="none" w:sz="0" w:space="0" w:color="auto" w:frame="1"/>
                <w:lang w:eastAsia="pt-BR"/>
              </w:rPr>
            </w:pPr>
            <w:r>
              <w:br/>
            </w:r>
            <w:r>
              <w:rPr>
                <w:rFonts w:ascii="Verdana" w:hAnsi="Verdana"/>
                <w:i/>
                <w:iCs/>
              </w:rPr>
              <w:t xml:space="preserve">§ </w:t>
            </w:r>
            <w:proofErr w:type="gramStart"/>
            <w:r>
              <w:rPr>
                <w:rFonts w:ascii="Verdana" w:hAnsi="Verdana"/>
                <w:i/>
                <w:iCs/>
              </w:rPr>
              <w:t xml:space="preserve">4º O limite previsto nos incisos I e III do caput deste artigo aplica-se em relação a cada doação ou transmissão causa </w:t>
            </w:r>
            <w:proofErr w:type="spellStart"/>
            <w:r>
              <w:rPr>
                <w:rFonts w:ascii="Verdana" w:hAnsi="Verdana"/>
                <w:i/>
                <w:iCs/>
              </w:rPr>
              <w:t>mortis</w:t>
            </w:r>
            <w:proofErr w:type="spellEnd"/>
            <w:r>
              <w:rPr>
                <w:rFonts w:ascii="Verdana" w:hAnsi="Verdana"/>
                <w:i/>
                <w:iCs/>
              </w:rPr>
              <w:t>, independentemente de quantos forem os herdeiros, os legatários ou os donatários.”</w:t>
            </w:r>
            <w:proofErr w:type="gramEnd"/>
          </w:p>
        </w:tc>
      </w:tr>
      <w:tr w:rsidR="007203E3" w:rsidTr="00E32F5E">
        <w:tc>
          <w:tcPr>
            <w:tcW w:w="8644" w:type="dxa"/>
            <w:tcBorders>
              <w:left w:val="nil"/>
              <w:right w:val="nil"/>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p>
        </w:tc>
      </w:tr>
      <w:tr w:rsidR="007203E3" w:rsidTr="00E32F5E">
        <w:tc>
          <w:tcPr>
            <w:tcW w:w="8644" w:type="dxa"/>
            <w:tcBorders>
              <w:bottom w:val="single" w:sz="4" w:space="0" w:color="auto"/>
            </w:tcBorders>
          </w:tcPr>
          <w:p w:rsidR="007203E3" w:rsidRPr="000F6162" w:rsidRDefault="007203E3" w:rsidP="00E32F5E">
            <w:pPr>
              <w:spacing w:line="240" w:lineRule="atLeast"/>
              <w:textAlignment w:val="baseline"/>
              <w:rPr>
                <w:rFonts w:ascii="Arial" w:eastAsia="Times New Roman" w:hAnsi="Arial" w:cs="Arial"/>
                <w:b/>
                <w:color w:val="000000"/>
                <w:sz w:val="24"/>
                <w:szCs w:val="24"/>
                <w:bdr w:val="none" w:sz="0" w:space="0" w:color="auto" w:frame="1"/>
                <w:lang w:eastAsia="pt-BR"/>
              </w:rPr>
            </w:pPr>
            <w:r>
              <w:rPr>
                <w:rFonts w:ascii="Verdana" w:hAnsi="Verdana"/>
                <w:i/>
                <w:iCs/>
              </w:rPr>
              <w:t>Art. 129 – (...) </w:t>
            </w:r>
            <w:r>
              <w:br/>
            </w:r>
            <w:r>
              <w:rPr>
                <w:rFonts w:ascii="Verdana" w:hAnsi="Verdana"/>
                <w:i/>
                <w:iCs/>
              </w:rPr>
              <w:t xml:space="preserve">I - seis por cento, nos casos de transmissão causa </w:t>
            </w:r>
            <w:proofErr w:type="spellStart"/>
            <w:r>
              <w:rPr>
                <w:rFonts w:ascii="Verdana" w:hAnsi="Verdana"/>
                <w:i/>
                <w:iCs/>
              </w:rPr>
              <w:t>mortis</w:t>
            </w:r>
            <w:proofErr w:type="spellEnd"/>
            <w:r>
              <w:rPr>
                <w:rFonts w:ascii="Verdana" w:hAnsi="Verdana"/>
                <w:i/>
                <w:iCs/>
              </w:rPr>
              <w:t>;</w:t>
            </w:r>
            <w:r>
              <w:br/>
            </w:r>
            <w:r>
              <w:rPr>
                <w:rFonts w:ascii="Verdana" w:hAnsi="Verdana"/>
                <w:i/>
                <w:iCs/>
              </w:rPr>
              <w:t> </w:t>
            </w:r>
            <w:r>
              <w:br/>
            </w:r>
            <w:r>
              <w:rPr>
                <w:rFonts w:ascii="Verdana" w:hAnsi="Verdana"/>
                <w:i/>
                <w:iCs/>
              </w:rPr>
              <w:t>II - três por cento, nas hipóteses de doação de quaisquer bens ou direitos.</w:t>
            </w:r>
          </w:p>
        </w:tc>
      </w:tr>
    </w:tbl>
    <w:p w:rsidR="007203E3" w:rsidRDefault="007203E3" w:rsidP="007203E3">
      <w:pPr>
        <w:spacing w:after="0" w:line="240" w:lineRule="atLeast"/>
        <w:ind w:left="-142"/>
        <w:jc w:val="both"/>
        <w:textAlignment w:val="baseline"/>
        <w:rPr>
          <w:rFonts w:ascii="Tahoma" w:hAnsi="Tahoma" w:cs="Tahoma"/>
          <w:b/>
          <w:bCs/>
          <w:sz w:val="20"/>
          <w:szCs w:val="20"/>
        </w:rPr>
      </w:pPr>
      <w:r w:rsidRPr="000F6162">
        <w:rPr>
          <w:rFonts w:eastAsia="Times New Roman" w:cs="Times New Roman"/>
          <w:b/>
          <w:color w:val="000000"/>
          <w:szCs w:val="21"/>
          <w:bdr w:val="none" w:sz="0" w:space="0" w:color="auto" w:frame="1"/>
          <w:lang w:eastAsia="pt-BR"/>
        </w:rPr>
        <w:t xml:space="preserve">Fonte: </w:t>
      </w:r>
      <w:proofErr w:type="spellStart"/>
      <w:proofErr w:type="gramStart"/>
      <w:r w:rsidRPr="000F6162">
        <w:rPr>
          <w:rFonts w:eastAsia="Times New Roman" w:cs="Times New Roman"/>
          <w:b/>
          <w:color w:val="000000"/>
          <w:szCs w:val="21"/>
          <w:bdr w:val="none" w:sz="0" w:space="0" w:color="auto" w:frame="1"/>
          <w:lang w:eastAsia="pt-BR"/>
        </w:rPr>
        <w:t>Sefaz-MS</w:t>
      </w:r>
      <w:proofErr w:type="spellEnd"/>
      <w:proofErr w:type="gramEnd"/>
      <w:r>
        <w:rPr>
          <w:rFonts w:eastAsia="Times New Roman" w:cs="Times New Roman"/>
          <w:b/>
          <w:color w:val="000000"/>
          <w:szCs w:val="21"/>
          <w:bdr w:val="none" w:sz="0" w:space="0" w:color="auto" w:frame="1"/>
          <w:lang w:eastAsia="pt-BR"/>
        </w:rPr>
        <w:t xml:space="preserve"> -</w:t>
      </w:r>
      <w:r w:rsidRPr="009A2232">
        <w:rPr>
          <w:rFonts w:ascii="Tahoma" w:hAnsi="Tahoma" w:cs="Tahoma"/>
          <w:b/>
          <w:bCs/>
          <w:sz w:val="20"/>
          <w:szCs w:val="20"/>
        </w:rPr>
        <w:t xml:space="preserve"> </w:t>
      </w:r>
      <w:r>
        <w:rPr>
          <w:rFonts w:ascii="Tahoma" w:hAnsi="Tahoma" w:cs="Tahoma"/>
          <w:b/>
          <w:bCs/>
          <w:sz w:val="20"/>
          <w:szCs w:val="20"/>
        </w:rPr>
        <w:t>Lei Estadual Nº 4.759, DE 16 DE NOVEMBRO DE 2015.</w:t>
      </w:r>
    </w:p>
    <w:p w:rsidR="005277C0" w:rsidRDefault="005277C0"/>
    <w:p w:rsidR="00117DFE" w:rsidRDefault="00117DFE"/>
    <w:p w:rsidR="00117DFE" w:rsidRDefault="00117DFE"/>
    <w:tbl>
      <w:tblPr>
        <w:tblW w:w="3500" w:type="pct"/>
        <w:jc w:val="center"/>
        <w:tblCellSpacing w:w="0" w:type="dxa"/>
        <w:tblCellMar>
          <w:left w:w="0" w:type="dxa"/>
          <w:right w:w="0" w:type="dxa"/>
        </w:tblCellMar>
        <w:tblLook w:val="04A0"/>
      </w:tblPr>
      <w:tblGrid>
        <w:gridCol w:w="1170"/>
        <w:gridCol w:w="4783"/>
      </w:tblGrid>
      <w:tr w:rsidR="00117DFE" w:rsidRPr="005C3062" w:rsidTr="00700B5C">
        <w:trPr>
          <w:tblCellSpacing w:w="0" w:type="dxa"/>
          <w:jc w:val="center"/>
        </w:trPr>
        <w:tc>
          <w:tcPr>
            <w:tcW w:w="700" w:type="pct"/>
            <w:vAlign w:val="center"/>
            <w:hideMark/>
          </w:tcPr>
          <w:p w:rsidR="00117DFE" w:rsidRPr="005C3062" w:rsidRDefault="00117DFE" w:rsidP="00700B5C">
            <w:pPr>
              <w:spacing w:before="100" w:beforeAutospacing="1" w:after="100" w:afterAutospacing="1" w:line="240" w:lineRule="auto"/>
              <w:jc w:val="both"/>
              <w:rPr>
                <w:rFonts w:ascii="Arial" w:eastAsia="Times New Roman" w:hAnsi="Arial" w:cs="Arial"/>
                <w:sz w:val="24"/>
                <w:szCs w:val="24"/>
                <w:lang w:eastAsia="pt-BR"/>
              </w:rPr>
            </w:pPr>
            <w:r w:rsidRPr="005C3062">
              <w:rPr>
                <w:rFonts w:ascii="Arial" w:eastAsia="Times New Roman" w:hAnsi="Arial" w:cs="Arial"/>
                <w:noProof/>
                <w:sz w:val="24"/>
                <w:szCs w:val="24"/>
                <w:lang w:eastAsia="pt-BR"/>
              </w:rPr>
              <w:drawing>
                <wp:inline distT="0" distB="0" distL="0" distR="0">
                  <wp:extent cx="723900" cy="781050"/>
                  <wp:effectExtent l="19050" t="0" r="0" b="0"/>
                  <wp:docPr id="1" name="Imagem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alto.gov.br/ccivil_03/_Ato2007-2010/2008/Decreto/Image4.gif"/>
                          <pic:cNvPicPr>
                            <a:picLocks noChangeAspect="1" noChangeArrowheads="1"/>
                          </pic:cNvPicPr>
                        </pic:nvPicPr>
                        <pic:blipFill>
                          <a:blip r:embed="rId7" cstate="print"/>
                          <a:srcRect/>
                          <a:stretch>
                            <a:fillRect/>
                          </a:stretch>
                        </pic:blipFill>
                        <pic:spPr bwMode="auto">
                          <a:xfrm>
                            <a:off x="0" y="0"/>
                            <a:ext cx="723900" cy="781050"/>
                          </a:xfrm>
                          <a:prstGeom prst="rect">
                            <a:avLst/>
                          </a:prstGeom>
                          <a:noFill/>
                          <a:ln w="9525">
                            <a:noFill/>
                            <a:miter lim="800000"/>
                            <a:headEnd/>
                            <a:tailEnd/>
                          </a:ln>
                        </pic:spPr>
                      </pic:pic>
                    </a:graphicData>
                  </a:graphic>
                </wp:inline>
              </w:drawing>
            </w:r>
          </w:p>
        </w:tc>
        <w:tc>
          <w:tcPr>
            <w:tcW w:w="4300" w:type="pct"/>
            <w:vAlign w:val="center"/>
            <w:hideMark/>
          </w:tcPr>
          <w:p w:rsidR="00117DFE" w:rsidRPr="005C3062" w:rsidRDefault="00117DFE" w:rsidP="00700B5C">
            <w:pPr>
              <w:spacing w:before="100" w:beforeAutospacing="1" w:after="100" w:afterAutospacing="1" w:line="240" w:lineRule="auto"/>
              <w:jc w:val="both"/>
              <w:rPr>
                <w:rFonts w:ascii="Arial" w:eastAsia="Times New Roman" w:hAnsi="Arial" w:cs="Arial"/>
                <w:sz w:val="24"/>
                <w:szCs w:val="24"/>
                <w:lang w:eastAsia="pt-BR"/>
              </w:rPr>
            </w:pPr>
            <w:r w:rsidRPr="005C3062">
              <w:rPr>
                <w:rFonts w:ascii="Arial" w:eastAsia="Times New Roman" w:hAnsi="Arial" w:cs="Arial"/>
                <w:b/>
                <w:bCs/>
                <w:color w:val="808000"/>
                <w:sz w:val="24"/>
                <w:szCs w:val="24"/>
                <w:lang w:eastAsia="pt-BR"/>
              </w:rPr>
              <w:t>Presidência da República</w:t>
            </w:r>
            <w:r w:rsidRPr="005C3062">
              <w:rPr>
                <w:rFonts w:ascii="Arial" w:eastAsia="Times New Roman" w:hAnsi="Arial" w:cs="Arial"/>
                <w:b/>
                <w:bCs/>
                <w:color w:val="808000"/>
                <w:sz w:val="24"/>
                <w:szCs w:val="24"/>
                <w:lang w:eastAsia="pt-BR"/>
              </w:rPr>
              <w:br/>
              <w:t>Casa Civil</w:t>
            </w:r>
            <w:r w:rsidRPr="005C3062">
              <w:rPr>
                <w:rFonts w:ascii="Arial" w:eastAsia="Times New Roman" w:hAnsi="Arial" w:cs="Arial"/>
                <w:b/>
                <w:bCs/>
                <w:color w:val="808000"/>
                <w:sz w:val="24"/>
                <w:szCs w:val="24"/>
                <w:lang w:eastAsia="pt-BR"/>
              </w:rPr>
              <w:br/>
              <w:t>Subchefia para Assuntos Jurídicos</w:t>
            </w:r>
          </w:p>
        </w:tc>
      </w:tr>
    </w:tbl>
    <w:p w:rsidR="00117DFE" w:rsidRPr="005C3062" w:rsidRDefault="00626BED" w:rsidP="00117DFE">
      <w:pPr>
        <w:spacing w:before="300" w:after="300" w:line="240" w:lineRule="auto"/>
        <w:jc w:val="both"/>
        <w:rPr>
          <w:rFonts w:ascii="Arial" w:eastAsia="Times New Roman" w:hAnsi="Arial" w:cs="Arial"/>
          <w:sz w:val="24"/>
          <w:szCs w:val="24"/>
          <w:lang w:eastAsia="pt-BR"/>
        </w:rPr>
      </w:pPr>
      <w:hyperlink r:id="rId8" w:history="1">
        <w:r w:rsidR="00117DFE" w:rsidRPr="005C3062">
          <w:rPr>
            <w:rFonts w:ascii="Arial" w:eastAsia="Times New Roman" w:hAnsi="Arial" w:cs="Arial"/>
            <w:b/>
            <w:bCs/>
            <w:color w:val="000080"/>
            <w:sz w:val="24"/>
            <w:szCs w:val="24"/>
            <w:u w:val="single"/>
            <w:lang w:eastAsia="pt-BR"/>
          </w:rPr>
          <w:t xml:space="preserve">LEI Nº 13.259, DE 16 DE MARÇO DE </w:t>
        </w:r>
        <w:proofErr w:type="gramStart"/>
        <w:r w:rsidR="00117DFE" w:rsidRPr="005C3062">
          <w:rPr>
            <w:rFonts w:ascii="Arial" w:eastAsia="Times New Roman" w:hAnsi="Arial" w:cs="Arial"/>
            <w:b/>
            <w:bCs/>
            <w:color w:val="000080"/>
            <w:sz w:val="24"/>
            <w:szCs w:val="24"/>
            <w:u w:val="single"/>
            <w:lang w:eastAsia="pt-BR"/>
          </w:rPr>
          <w:t>2016.</w:t>
        </w:r>
        <w:proofErr w:type="gramEnd"/>
      </w:hyperlink>
    </w:p>
    <w:tbl>
      <w:tblPr>
        <w:tblW w:w="5000" w:type="pct"/>
        <w:tblCellSpacing w:w="0" w:type="dxa"/>
        <w:tblCellMar>
          <w:left w:w="0" w:type="dxa"/>
          <w:right w:w="0" w:type="dxa"/>
        </w:tblCellMar>
        <w:tblLook w:val="04A0"/>
      </w:tblPr>
      <w:tblGrid>
        <w:gridCol w:w="4252"/>
        <w:gridCol w:w="4252"/>
      </w:tblGrid>
      <w:tr w:rsidR="00117DFE" w:rsidRPr="005C3062" w:rsidTr="00700B5C">
        <w:trPr>
          <w:tblCellSpacing w:w="0" w:type="dxa"/>
        </w:trPr>
        <w:tc>
          <w:tcPr>
            <w:tcW w:w="2500" w:type="pct"/>
            <w:vAlign w:val="center"/>
            <w:hideMark/>
          </w:tcPr>
          <w:p w:rsidR="00117DFE" w:rsidRPr="005C3062" w:rsidRDefault="00117DFE" w:rsidP="00700B5C">
            <w:pPr>
              <w:spacing w:before="100" w:beforeAutospacing="1" w:after="100" w:afterAutospacing="1" w:line="240" w:lineRule="auto"/>
              <w:jc w:val="both"/>
              <w:rPr>
                <w:rFonts w:ascii="Arial" w:eastAsia="Times New Roman" w:hAnsi="Arial" w:cs="Arial"/>
                <w:sz w:val="24"/>
                <w:szCs w:val="24"/>
                <w:lang w:eastAsia="pt-BR"/>
              </w:rPr>
            </w:pPr>
          </w:p>
        </w:tc>
        <w:tc>
          <w:tcPr>
            <w:tcW w:w="2500" w:type="pct"/>
            <w:vAlign w:val="center"/>
            <w:hideMark/>
          </w:tcPr>
          <w:p w:rsidR="00117DFE" w:rsidRPr="005C3062" w:rsidRDefault="00117DFE" w:rsidP="00700B5C">
            <w:pPr>
              <w:spacing w:before="100" w:beforeAutospacing="1" w:after="100" w:afterAutospacing="1" w:line="240" w:lineRule="auto"/>
              <w:jc w:val="both"/>
              <w:rPr>
                <w:rFonts w:ascii="Arial" w:eastAsia="Times New Roman" w:hAnsi="Arial" w:cs="Arial"/>
                <w:sz w:val="24"/>
                <w:szCs w:val="24"/>
                <w:lang w:eastAsia="pt-BR"/>
              </w:rPr>
            </w:pPr>
          </w:p>
        </w:tc>
      </w:tr>
    </w:tbl>
    <w:p w:rsidR="00117DFE" w:rsidRPr="005C3062" w:rsidRDefault="00117DFE" w:rsidP="00117DFE">
      <w:pPr>
        <w:spacing w:before="300" w:after="300" w:line="240" w:lineRule="auto"/>
        <w:ind w:firstLine="567"/>
        <w:jc w:val="both"/>
        <w:rPr>
          <w:rFonts w:ascii="Arial" w:eastAsia="Times New Roman" w:hAnsi="Arial" w:cs="Arial"/>
          <w:sz w:val="24"/>
          <w:szCs w:val="24"/>
          <w:lang w:eastAsia="pt-BR"/>
        </w:rPr>
      </w:pPr>
      <w:proofErr w:type="gramStart"/>
      <w:r w:rsidRPr="005C3062">
        <w:rPr>
          <w:rFonts w:ascii="Arial" w:eastAsia="Times New Roman" w:hAnsi="Arial" w:cs="Arial"/>
          <w:b/>
          <w:bCs/>
          <w:color w:val="000000"/>
          <w:sz w:val="24"/>
          <w:szCs w:val="24"/>
          <w:lang w:eastAsia="pt-BR"/>
        </w:rPr>
        <w:t xml:space="preserve">A PRESIDENTA DA REPÚBLICA </w:t>
      </w:r>
      <w:r w:rsidRPr="005C3062">
        <w:rPr>
          <w:rFonts w:ascii="Arial" w:eastAsia="Times New Roman" w:hAnsi="Arial" w:cs="Arial"/>
          <w:color w:val="000000"/>
          <w:sz w:val="24"/>
          <w:szCs w:val="24"/>
          <w:lang w:eastAsia="pt-BR"/>
        </w:rPr>
        <w:t>Faço</w:t>
      </w:r>
      <w:proofErr w:type="gramEnd"/>
      <w:r w:rsidRPr="005C3062">
        <w:rPr>
          <w:rFonts w:ascii="Arial" w:eastAsia="Times New Roman" w:hAnsi="Arial" w:cs="Arial"/>
          <w:color w:val="000000"/>
          <w:sz w:val="24"/>
          <w:szCs w:val="24"/>
          <w:lang w:eastAsia="pt-BR"/>
        </w:rPr>
        <w:t xml:space="preserve"> saber que o Congresso Nacional decreta e eu sanciono a seguinte Lei: </w:t>
      </w:r>
    </w:p>
    <w:p w:rsidR="00117DFE" w:rsidRPr="005C3062" w:rsidRDefault="00117DFE" w:rsidP="00117DFE">
      <w:pPr>
        <w:spacing w:before="300" w:after="300" w:line="240" w:lineRule="auto"/>
        <w:ind w:firstLine="567"/>
        <w:jc w:val="both"/>
        <w:rPr>
          <w:rFonts w:ascii="Arial" w:eastAsia="Times New Roman" w:hAnsi="Arial" w:cs="Arial"/>
          <w:sz w:val="24"/>
          <w:szCs w:val="24"/>
          <w:lang w:eastAsia="pt-BR"/>
        </w:rPr>
      </w:pPr>
      <w:bookmarkStart w:id="1" w:name="art1"/>
      <w:bookmarkEnd w:id="1"/>
      <w:r w:rsidRPr="005C3062">
        <w:rPr>
          <w:rFonts w:ascii="Arial" w:eastAsia="Times New Roman" w:hAnsi="Arial" w:cs="Arial"/>
          <w:color w:val="000000"/>
          <w:sz w:val="24"/>
          <w:szCs w:val="24"/>
          <w:lang w:eastAsia="pt-BR"/>
        </w:rPr>
        <w:lastRenderedPageBreak/>
        <w:t>Art. 1</w:t>
      </w:r>
      <w:r w:rsidRPr="005C3062">
        <w:rPr>
          <w:rFonts w:ascii="Arial" w:eastAsia="Times New Roman" w:hAnsi="Arial" w:cs="Arial"/>
          <w:color w:val="000000"/>
          <w:sz w:val="24"/>
          <w:szCs w:val="24"/>
          <w:u w:val="single"/>
          <w:vertAlign w:val="superscript"/>
          <w:lang w:eastAsia="pt-BR"/>
        </w:rPr>
        <w:t>o</w:t>
      </w:r>
      <w:r w:rsidRPr="005C3062">
        <w:rPr>
          <w:rFonts w:ascii="Arial" w:eastAsia="Times New Roman" w:hAnsi="Arial" w:cs="Arial"/>
          <w:color w:val="000000"/>
          <w:sz w:val="24"/>
          <w:szCs w:val="24"/>
          <w:lang w:eastAsia="pt-BR"/>
        </w:rPr>
        <w:t xml:space="preserve">  O art. 21 da </w:t>
      </w:r>
      <w:hyperlink r:id="rId9" w:history="1">
        <w:r w:rsidRPr="005C3062">
          <w:rPr>
            <w:rFonts w:ascii="Arial" w:eastAsia="Times New Roman" w:hAnsi="Arial" w:cs="Arial"/>
            <w:color w:val="0000FF"/>
            <w:sz w:val="24"/>
            <w:szCs w:val="24"/>
            <w:u w:val="single"/>
            <w:lang w:eastAsia="pt-BR"/>
          </w:rPr>
          <w:t>Lei n</w:t>
        </w:r>
        <w:r w:rsidRPr="005C3062">
          <w:rPr>
            <w:rFonts w:ascii="Arial" w:eastAsia="Times New Roman" w:hAnsi="Arial" w:cs="Arial"/>
            <w:color w:val="0000FF"/>
            <w:sz w:val="24"/>
            <w:szCs w:val="24"/>
            <w:u w:val="single"/>
            <w:vertAlign w:val="superscript"/>
            <w:lang w:eastAsia="pt-BR"/>
          </w:rPr>
          <w:t>o</w:t>
        </w:r>
        <w:r w:rsidRPr="005C3062">
          <w:rPr>
            <w:rFonts w:ascii="Arial" w:eastAsia="Times New Roman" w:hAnsi="Arial" w:cs="Arial"/>
            <w:color w:val="0000FF"/>
            <w:sz w:val="24"/>
            <w:szCs w:val="24"/>
            <w:u w:val="single"/>
            <w:lang w:eastAsia="pt-BR"/>
          </w:rPr>
          <w:t xml:space="preserve"> 8.981, de 20 de janeiro de 1995</w:t>
        </w:r>
      </w:hyperlink>
      <w:r w:rsidRPr="005C3062">
        <w:rPr>
          <w:rFonts w:ascii="Arial" w:eastAsia="Times New Roman" w:hAnsi="Arial" w:cs="Arial"/>
          <w:color w:val="000000"/>
          <w:sz w:val="24"/>
          <w:szCs w:val="24"/>
          <w:lang w:eastAsia="pt-BR"/>
        </w:rPr>
        <w:t>, passa a vigorar com as seguintes alterações: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w:t>
      </w:r>
      <w:hyperlink r:id="rId10" w:anchor="art21.." w:history="1">
        <w:r w:rsidRPr="005C3062">
          <w:rPr>
            <w:rFonts w:ascii="Arial" w:eastAsia="Times New Roman" w:hAnsi="Arial" w:cs="Arial"/>
            <w:color w:val="0000FF"/>
            <w:sz w:val="24"/>
            <w:szCs w:val="24"/>
            <w:u w:val="single"/>
            <w:lang w:eastAsia="pt-BR"/>
          </w:rPr>
          <w:t xml:space="preserve">Art. </w:t>
        </w:r>
        <w:proofErr w:type="gramStart"/>
        <w:r w:rsidRPr="005C3062">
          <w:rPr>
            <w:rFonts w:ascii="Arial" w:eastAsia="Times New Roman" w:hAnsi="Arial" w:cs="Arial"/>
            <w:color w:val="0000FF"/>
            <w:sz w:val="24"/>
            <w:szCs w:val="24"/>
            <w:u w:val="single"/>
            <w:lang w:eastAsia="pt-BR"/>
          </w:rPr>
          <w:t>21.</w:t>
        </w:r>
        <w:proofErr w:type="gramEnd"/>
      </w:hyperlink>
      <w:r w:rsidRPr="005C3062">
        <w:rPr>
          <w:rFonts w:ascii="Arial" w:eastAsia="Times New Roman" w:hAnsi="Arial" w:cs="Arial"/>
          <w:color w:val="000000"/>
          <w:sz w:val="24"/>
          <w:szCs w:val="24"/>
          <w:lang w:eastAsia="pt-BR"/>
        </w:rPr>
        <w:t xml:space="preserve">  O </w:t>
      </w:r>
      <w:r w:rsidRPr="00625E0E">
        <w:rPr>
          <w:rFonts w:ascii="Arial" w:eastAsia="Times New Roman" w:hAnsi="Arial" w:cs="Arial"/>
          <w:color w:val="FF0000"/>
          <w:sz w:val="24"/>
          <w:szCs w:val="24"/>
          <w:lang w:eastAsia="pt-BR"/>
        </w:rPr>
        <w:t>ganho de capital</w:t>
      </w:r>
      <w:r w:rsidRPr="005C3062">
        <w:rPr>
          <w:rFonts w:ascii="Arial" w:eastAsia="Times New Roman" w:hAnsi="Arial" w:cs="Arial"/>
          <w:color w:val="000000"/>
          <w:sz w:val="24"/>
          <w:szCs w:val="24"/>
          <w:lang w:eastAsia="pt-BR"/>
        </w:rPr>
        <w:t xml:space="preserve"> percebido por pessoa física em decorrência da alienação de bens e direitos de qualquer natureza sujeita-se à incidência do imposto sobre a renda, com as seguintes alíquotas: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xml:space="preserve">I - 15% (quinze por cento) sobre a parcela dos ganhos que não ultrapassar R$ 5.000.000,00 (cinco milhões de reais);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xml:space="preserve">II - 17,5% (dezessete inteiros e cinco décimos por cento) sobre a parcela dos ganhos que exceder R$ 5.000.000,00 (cinco milhões de reais) e não ultrapassar R$ 10.000.000,00 (dez milhões de reais);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xml:space="preserve">III - 20% (vinte por cento) sobre a parcela dos ganhos que exceder R$ 10.000.000,00 (dez milhões de reais) e não ultrapassar R$ 30.000.000,00 (trinta milhões de reais); </w:t>
      </w:r>
      <w:proofErr w:type="gramStart"/>
      <w:r w:rsidRPr="005C3062">
        <w:rPr>
          <w:rFonts w:ascii="Arial" w:eastAsia="Times New Roman" w:hAnsi="Arial" w:cs="Arial"/>
          <w:color w:val="000000"/>
          <w:sz w:val="24"/>
          <w:szCs w:val="24"/>
          <w:lang w:eastAsia="pt-BR"/>
        </w:rPr>
        <w:t>e</w:t>
      </w:r>
      <w:proofErr w:type="gramEnd"/>
      <w:r w:rsidRPr="005C3062">
        <w:rPr>
          <w:rFonts w:ascii="Arial" w:eastAsia="Times New Roman" w:hAnsi="Arial" w:cs="Arial"/>
          <w:color w:val="000000"/>
          <w:sz w:val="24"/>
          <w:szCs w:val="24"/>
          <w:lang w:eastAsia="pt-BR"/>
        </w:rPr>
        <w:t>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xml:space="preserve">IV - 22,5% (vinte e dois inteiros e cinco décimos por cento) sobre a parcela dos ganhos que ultrapassar R$ 30.000.000,00 (trinta milhões de reais).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3</w:t>
      </w:r>
      <w:r w:rsidRPr="005C3062">
        <w:rPr>
          <w:rFonts w:ascii="Arial" w:eastAsia="Times New Roman" w:hAnsi="Arial" w:cs="Arial"/>
          <w:color w:val="000000"/>
          <w:sz w:val="24"/>
          <w:szCs w:val="24"/>
          <w:u w:val="single"/>
          <w:vertAlign w:val="superscript"/>
          <w:lang w:eastAsia="pt-BR"/>
        </w:rPr>
        <w:t>o</w:t>
      </w:r>
      <w:proofErr w:type="gramStart"/>
      <w:r w:rsidRPr="005C3062">
        <w:rPr>
          <w:rFonts w:ascii="Arial" w:eastAsia="Times New Roman" w:hAnsi="Arial" w:cs="Arial"/>
          <w:color w:val="000000"/>
          <w:sz w:val="24"/>
          <w:szCs w:val="24"/>
          <w:lang w:eastAsia="pt-BR"/>
        </w:rPr>
        <w:t xml:space="preserve">  </w:t>
      </w:r>
      <w:proofErr w:type="gramEnd"/>
      <w:r w:rsidRPr="005C3062">
        <w:rPr>
          <w:rFonts w:ascii="Arial" w:eastAsia="Times New Roman" w:hAnsi="Arial" w:cs="Arial"/>
          <w:color w:val="000000"/>
          <w:sz w:val="24"/>
          <w:szCs w:val="24"/>
          <w:lang w:eastAsia="pt-BR"/>
        </w:rPr>
        <w:t xml:space="preserve">Na hipótese de alienação em partes do mesmo bem ou direito, a partir da segunda operação, desde que realizada até o final do ano-calendário seguinte ao da primeira operação, o ganho de capital deve ser somado aos ganhos auferidos nas operações anteriores, para fins da apuração do imposto na forma do </w:t>
      </w:r>
      <w:r w:rsidRPr="005C3062">
        <w:rPr>
          <w:rFonts w:ascii="Arial" w:eastAsia="Times New Roman" w:hAnsi="Arial" w:cs="Arial"/>
          <w:b/>
          <w:bCs/>
          <w:color w:val="000000"/>
          <w:sz w:val="24"/>
          <w:szCs w:val="24"/>
          <w:lang w:eastAsia="pt-BR"/>
        </w:rPr>
        <w:t>caput</w:t>
      </w:r>
      <w:r w:rsidRPr="005C3062">
        <w:rPr>
          <w:rFonts w:ascii="Arial" w:eastAsia="Times New Roman" w:hAnsi="Arial" w:cs="Arial"/>
          <w:color w:val="000000"/>
          <w:sz w:val="24"/>
          <w:szCs w:val="24"/>
          <w:lang w:eastAsia="pt-BR"/>
        </w:rPr>
        <w:t>, deduzindo-se o montante do imposto pago nas operações anteriores.</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4</w:t>
      </w:r>
      <w:r w:rsidRPr="005C3062">
        <w:rPr>
          <w:rFonts w:ascii="Arial" w:eastAsia="Times New Roman" w:hAnsi="Arial" w:cs="Arial"/>
          <w:color w:val="000000"/>
          <w:sz w:val="24"/>
          <w:szCs w:val="24"/>
          <w:u w:val="single"/>
          <w:vertAlign w:val="superscript"/>
          <w:lang w:eastAsia="pt-BR"/>
        </w:rPr>
        <w:t>o</w:t>
      </w:r>
      <w:proofErr w:type="gramStart"/>
      <w:r w:rsidRPr="005C3062">
        <w:rPr>
          <w:rFonts w:ascii="Arial" w:eastAsia="Times New Roman" w:hAnsi="Arial" w:cs="Arial"/>
          <w:color w:val="000000"/>
          <w:sz w:val="24"/>
          <w:szCs w:val="24"/>
          <w:lang w:eastAsia="pt-BR"/>
        </w:rPr>
        <w:t xml:space="preserve">  </w:t>
      </w:r>
      <w:proofErr w:type="gramEnd"/>
      <w:r w:rsidRPr="005C3062">
        <w:rPr>
          <w:rFonts w:ascii="Arial" w:eastAsia="Times New Roman" w:hAnsi="Arial" w:cs="Arial"/>
          <w:color w:val="000000"/>
          <w:sz w:val="24"/>
          <w:szCs w:val="24"/>
          <w:lang w:eastAsia="pt-BR"/>
        </w:rPr>
        <w:t>Para fins do disposto neste artigo, considera-se integrante do mesmo bem ou direito o conjunto de ações ou quotas de uma mesma pessoa jurídica.</w:t>
      </w:r>
    </w:p>
    <w:p w:rsidR="00117DFE" w:rsidRPr="005C3062" w:rsidRDefault="00117DFE" w:rsidP="00117DFE">
      <w:pPr>
        <w:spacing w:before="300" w:after="300" w:line="240" w:lineRule="auto"/>
        <w:ind w:firstLine="570"/>
        <w:jc w:val="both"/>
        <w:rPr>
          <w:rFonts w:ascii="Arial" w:eastAsia="Times New Roman" w:hAnsi="Arial" w:cs="Arial"/>
          <w:sz w:val="24"/>
          <w:szCs w:val="24"/>
          <w:lang w:eastAsia="pt-BR"/>
        </w:rPr>
      </w:pPr>
      <w:r w:rsidRPr="005C3062">
        <w:rPr>
          <w:rFonts w:ascii="Arial" w:eastAsia="Times New Roman" w:hAnsi="Arial" w:cs="Arial"/>
          <w:color w:val="000000"/>
          <w:sz w:val="24"/>
          <w:szCs w:val="24"/>
          <w:lang w:eastAsia="pt-BR"/>
        </w:rPr>
        <w:t>§ 5</w:t>
      </w:r>
      <w:r w:rsidRPr="005C3062">
        <w:rPr>
          <w:rFonts w:ascii="Arial" w:eastAsia="Times New Roman" w:hAnsi="Arial" w:cs="Arial"/>
          <w:color w:val="000000"/>
          <w:sz w:val="24"/>
          <w:szCs w:val="24"/>
          <w:u w:val="single"/>
          <w:vertAlign w:val="superscript"/>
          <w:lang w:eastAsia="pt-BR"/>
        </w:rPr>
        <w:t>o</w:t>
      </w:r>
      <w:proofErr w:type="gramStart"/>
      <w:r w:rsidRPr="005C3062">
        <w:rPr>
          <w:rFonts w:ascii="Arial" w:eastAsia="Times New Roman" w:hAnsi="Arial" w:cs="Arial"/>
          <w:color w:val="000000"/>
          <w:sz w:val="24"/>
          <w:szCs w:val="24"/>
          <w:lang w:eastAsia="pt-BR"/>
        </w:rPr>
        <w:t xml:space="preserve">  </w:t>
      </w:r>
      <w:proofErr w:type="gramEnd"/>
      <w:r w:rsidRPr="005C3062">
        <w:rPr>
          <w:rFonts w:ascii="Arial" w:eastAsia="Times New Roman" w:hAnsi="Arial" w:cs="Arial"/>
          <w:color w:val="000000"/>
          <w:sz w:val="24"/>
          <w:szCs w:val="24"/>
          <w:lang w:eastAsia="pt-BR"/>
        </w:rPr>
        <w:t>(VETADO).” (NR)  </w:t>
      </w:r>
    </w:p>
    <w:p w:rsidR="00117DFE" w:rsidRPr="005C3062" w:rsidRDefault="00117DFE" w:rsidP="00117DFE">
      <w:pPr>
        <w:spacing w:before="300" w:after="300" w:line="240" w:lineRule="auto"/>
        <w:ind w:firstLine="567"/>
        <w:jc w:val="both"/>
        <w:rPr>
          <w:rFonts w:ascii="Arial" w:eastAsia="Times New Roman" w:hAnsi="Arial" w:cs="Arial"/>
          <w:sz w:val="24"/>
          <w:szCs w:val="24"/>
          <w:lang w:eastAsia="pt-BR"/>
        </w:rPr>
      </w:pPr>
      <w:bookmarkStart w:id="2" w:name="art2"/>
      <w:bookmarkEnd w:id="2"/>
      <w:r w:rsidRPr="005C3062">
        <w:rPr>
          <w:rFonts w:ascii="Arial" w:eastAsia="Times New Roman" w:hAnsi="Arial" w:cs="Arial"/>
          <w:color w:val="000000"/>
          <w:sz w:val="24"/>
          <w:szCs w:val="24"/>
          <w:lang w:eastAsia="pt-BR"/>
        </w:rPr>
        <w:t>Art. 2</w:t>
      </w:r>
      <w:r w:rsidRPr="005C3062">
        <w:rPr>
          <w:rFonts w:ascii="Arial" w:eastAsia="Times New Roman" w:hAnsi="Arial" w:cs="Arial"/>
          <w:color w:val="000000"/>
          <w:sz w:val="24"/>
          <w:szCs w:val="24"/>
          <w:u w:val="single"/>
          <w:vertAlign w:val="superscript"/>
          <w:lang w:eastAsia="pt-BR"/>
        </w:rPr>
        <w:t>o</w:t>
      </w:r>
      <w:proofErr w:type="gramStart"/>
      <w:r w:rsidRPr="005C3062">
        <w:rPr>
          <w:rFonts w:ascii="Arial" w:eastAsia="Times New Roman" w:hAnsi="Arial" w:cs="Arial"/>
          <w:color w:val="000000"/>
          <w:sz w:val="24"/>
          <w:szCs w:val="24"/>
          <w:lang w:eastAsia="pt-BR"/>
        </w:rPr>
        <w:t xml:space="preserve">  </w:t>
      </w:r>
      <w:proofErr w:type="gramEnd"/>
      <w:r w:rsidRPr="005C3062">
        <w:rPr>
          <w:rFonts w:ascii="Arial" w:eastAsia="Times New Roman" w:hAnsi="Arial" w:cs="Arial"/>
          <w:color w:val="000000"/>
          <w:sz w:val="24"/>
          <w:szCs w:val="24"/>
          <w:lang w:eastAsia="pt-BR"/>
        </w:rPr>
        <w:t xml:space="preserve">O ganho de capital percebido por pessoa jurídica em decorrência da alienação de bens e direitos do ativo não circulante sujeita-se à incidência do imposto sobre a renda, com a aplicação das alíquotas previstas no </w:t>
      </w:r>
      <w:hyperlink r:id="rId11" w:anchor="art21.." w:history="1">
        <w:r w:rsidRPr="005C3062">
          <w:rPr>
            <w:rFonts w:ascii="Arial" w:eastAsia="Times New Roman" w:hAnsi="Arial" w:cs="Arial"/>
            <w:color w:val="0000FF"/>
            <w:sz w:val="24"/>
            <w:szCs w:val="24"/>
            <w:u w:val="single"/>
            <w:lang w:eastAsia="pt-BR"/>
          </w:rPr>
          <w:t>caput do art. 21 da Lei nº 8.981, de 20 de janeiro de 1995</w:t>
        </w:r>
      </w:hyperlink>
      <w:r w:rsidRPr="005C3062">
        <w:rPr>
          <w:rFonts w:ascii="Arial" w:eastAsia="Times New Roman" w:hAnsi="Arial" w:cs="Arial"/>
          <w:color w:val="000000"/>
          <w:sz w:val="24"/>
          <w:szCs w:val="24"/>
          <w:lang w:eastAsia="pt-BR"/>
        </w:rPr>
        <w:t xml:space="preserve">, e do disposto nos </w:t>
      </w:r>
      <w:hyperlink r:id="rId12" w:anchor="art21%C2%A71" w:history="1">
        <w:r w:rsidRPr="005C3062">
          <w:rPr>
            <w:rFonts w:ascii="Arial" w:eastAsia="Times New Roman" w:hAnsi="Arial" w:cs="Arial"/>
            <w:color w:val="0000FF"/>
            <w:sz w:val="24"/>
            <w:szCs w:val="24"/>
            <w:u w:val="single"/>
            <w:lang w:eastAsia="pt-BR"/>
          </w:rPr>
          <w:t>§§ 1º</w:t>
        </w:r>
      </w:hyperlink>
      <w:r w:rsidRPr="005C3062">
        <w:rPr>
          <w:rFonts w:ascii="Arial" w:eastAsia="Times New Roman" w:hAnsi="Arial" w:cs="Arial"/>
          <w:sz w:val="24"/>
          <w:szCs w:val="24"/>
          <w:lang w:eastAsia="pt-BR"/>
        </w:rPr>
        <w:t xml:space="preserve">, </w:t>
      </w:r>
      <w:hyperlink r:id="rId13" w:anchor="art21%C2%A73." w:history="1">
        <w:r w:rsidRPr="005C3062">
          <w:rPr>
            <w:rFonts w:ascii="Arial" w:eastAsia="Times New Roman" w:hAnsi="Arial" w:cs="Arial"/>
            <w:color w:val="0000FF"/>
            <w:sz w:val="24"/>
            <w:szCs w:val="24"/>
            <w:u w:val="single"/>
            <w:lang w:eastAsia="pt-BR"/>
          </w:rPr>
          <w:t>3º</w:t>
        </w:r>
      </w:hyperlink>
      <w:r w:rsidRPr="005C3062">
        <w:rPr>
          <w:rFonts w:ascii="Arial" w:eastAsia="Times New Roman" w:hAnsi="Arial" w:cs="Arial"/>
          <w:sz w:val="24"/>
          <w:szCs w:val="24"/>
          <w:lang w:eastAsia="pt-BR"/>
        </w:rPr>
        <w:t xml:space="preserve"> e </w:t>
      </w:r>
      <w:hyperlink r:id="rId14" w:anchor="art21%C2%A74." w:history="1">
        <w:r w:rsidRPr="005C3062">
          <w:rPr>
            <w:rFonts w:ascii="Arial" w:eastAsia="Times New Roman" w:hAnsi="Arial" w:cs="Arial"/>
            <w:color w:val="0000FF"/>
            <w:sz w:val="24"/>
            <w:szCs w:val="24"/>
            <w:u w:val="single"/>
            <w:lang w:eastAsia="pt-BR"/>
          </w:rPr>
          <w:t>4º do referido artigo</w:t>
        </w:r>
      </w:hyperlink>
      <w:r w:rsidRPr="005C3062">
        <w:rPr>
          <w:rFonts w:ascii="Arial" w:eastAsia="Times New Roman" w:hAnsi="Arial" w:cs="Arial"/>
          <w:color w:val="000000"/>
          <w:sz w:val="24"/>
          <w:szCs w:val="24"/>
          <w:lang w:eastAsia="pt-BR"/>
        </w:rPr>
        <w:t>, exceto para as pessoas jurídicas tributadas com base no lucro real, presumido ou arbitrado.</w:t>
      </w:r>
    </w:p>
    <w:p w:rsidR="00117DFE" w:rsidRDefault="00117DFE"/>
    <w:sectPr w:rsidR="00117DFE" w:rsidSect="005277C0">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05" w:rsidRDefault="003E1905" w:rsidP="003E1905">
      <w:pPr>
        <w:spacing w:after="0" w:line="240" w:lineRule="auto"/>
      </w:pPr>
      <w:r>
        <w:separator/>
      </w:r>
    </w:p>
  </w:endnote>
  <w:endnote w:type="continuationSeparator" w:id="0">
    <w:p w:rsidR="003E1905" w:rsidRDefault="003E1905" w:rsidP="003E1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AA" w:rsidRDefault="00626BED" w:rsidP="007C3CA5">
    <w:pPr>
      <w:pStyle w:val="Rodap"/>
      <w:jc w:val="center"/>
    </w:pPr>
    <w:r>
      <w:rPr>
        <w:noProof/>
        <w:lang w:eastAsia="pt-BR"/>
      </w:rPr>
      <w:pict>
        <v:shapetype id="_x0000_t32" coordsize="21600,21600" o:spt="32" o:oned="t" path="m,l21600,21600e" filled="f">
          <v:path arrowok="t" fillok="f" o:connecttype="none"/>
          <o:lock v:ext="edit" shapetype="t"/>
        </v:shapetype>
        <v:shape id="_x0000_s1026" type="#_x0000_t32" style="position:absolute;left:0;text-align:left;margin-left:-7.2pt;margin-top:8.8pt;width:6in;height:0;z-index:251661312" o:connectortype="straight"/>
      </w:pict>
    </w:r>
    <w:r w:rsidR="007203E3">
      <w:t xml:space="preserve">    </w:t>
    </w:r>
  </w:p>
  <w:p w:rsidR="00B85DAA" w:rsidRPr="007C3CA5" w:rsidRDefault="007203E3" w:rsidP="007C3CA5">
    <w:pPr>
      <w:pStyle w:val="Rodap"/>
      <w:jc w:val="center"/>
      <w:rPr>
        <w:b/>
        <w:i/>
        <w:sz w:val="28"/>
        <w:u w:val="single"/>
      </w:rPr>
    </w:pPr>
    <w:r w:rsidRPr="00977134">
      <w:rPr>
        <w:b/>
        <w:sz w:val="28"/>
      </w:rPr>
      <w:t xml:space="preserve">              </w:t>
    </w:r>
    <w:r>
      <w:rPr>
        <w:b/>
        <w:sz w:val="28"/>
      </w:rPr>
      <w:t xml:space="preserve">           </w:t>
    </w:r>
    <w:r w:rsidRPr="00977134">
      <w:rPr>
        <w:b/>
        <w:sz w:val="28"/>
      </w:rPr>
      <w:t xml:space="preserve">    </w:t>
    </w:r>
    <w:r w:rsidRPr="007C3CA5">
      <w:rPr>
        <w:b/>
        <w:i/>
        <w:sz w:val="20"/>
        <w:u w:val="single"/>
      </w:rPr>
      <w:t>AGM – Consultoria Contábil e Jurídica</w:t>
    </w:r>
  </w:p>
  <w:p w:rsidR="00B85DAA" w:rsidRDefault="00626BED" w:rsidP="007C3CA5">
    <w:pPr>
      <w:pStyle w:val="Rodap"/>
      <w:jc w:val="center"/>
      <w:rPr>
        <w:sz w:val="16"/>
        <w:szCs w:val="15"/>
      </w:rPr>
    </w:pPr>
    <w:sdt>
      <w:sdtPr>
        <w:id w:val="250395305"/>
        <w:docPartObj>
          <w:docPartGallery w:val="Page Numbers (Top of Page)"/>
          <w:docPartUnique/>
        </w:docPartObj>
      </w:sdtPr>
      <w:sdtContent>
        <w:r w:rsidR="007203E3">
          <w:t xml:space="preserve">Página </w:t>
        </w:r>
        <w:r>
          <w:fldChar w:fldCharType="begin"/>
        </w:r>
        <w:r w:rsidR="007203E3">
          <w:instrText xml:space="preserve"> PAGE </w:instrText>
        </w:r>
        <w:r>
          <w:fldChar w:fldCharType="separate"/>
        </w:r>
        <w:r w:rsidR="003D37EC">
          <w:rPr>
            <w:noProof/>
          </w:rPr>
          <w:t>8</w:t>
        </w:r>
        <w:r>
          <w:fldChar w:fldCharType="end"/>
        </w:r>
        <w:r w:rsidR="007203E3">
          <w:t xml:space="preserve"> de </w:t>
        </w:r>
        <w:r>
          <w:fldChar w:fldCharType="begin"/>
        </w:r>
        <w:r w:rsidR="007203E3">
          <w:instrText xml:space="preserve"> NUMPAGES  </w:instrText>
        </w:r>
        <w:r>
          <w:fldChar w:fldCharType="separate"/>
        </w:r>
        <w:r w:rsidR="003D37EC">
          <w:rPr>
            <w:noProof/>
          </w:rPr>
          <w:t>8</w:t>
        </w:r>
        <w:r>
          <w:fldChar w:fldCharType="end"/>
        </w:r>
        <w:r w:rsidR="007203E3">
          <w:t xml:space="preserve">        </w:t>
        </w:r>
      </w:sdtContent>
    </w:sdt>
    <w:r w:rsidR="007203E3" w:rsidRPr="00564E9F">
      <w:rPr>
        <w:sz w:val="15"/>
        <w:szCs w:val="15"/>
      </w:rPr>
      <w:t xml:space="preserve"> </w:t>
    </w:r>
    <w:r w:rsidR="007203E3">
      <w:rPr>
        <w:sz w:val="15"/>
        <w:szCs w:val="15"/>
      </w:rPr>
      <w:t xml:space="preserve">          </w:t>
    </w:r>
    <w:r w:rsidR="007203E3" w:rsidRPr="00977134">
      <w:rPr>
        <w:sz w:val="16"/>
        <w:szCs w:val="15"/>
      </w:rPr>
      <w:t>Av. Presidente Ernesto Geisel, 2417</w:t>
    </w:r>
    <w:r w:rsidR="007203E3" w:rsidRPr="00977134">
      <w:rPr>
        <w:sz w:val="24"/>
      </w:rPr>
      <w:t xml:space="preserve"> </w:t>
    </w:r>
    <w:r w:rsidR="007203E3">
      <w:rPr>
        <w:sz w:val="24"/>
      </w:rPr>
      <w:t>-</w:t>
    </w:r>
    <w:r w:rsidR="007203E3" w:rsidRPr="00977134">
      <w:rPr>
        <w:sz w:val="24"/>
      </w:rPr>
      <w:t xml:space="preserve"> </w:t>
    </w:r>
    <w:r w:rsidR="007203E3">
      <w:rPr>
        <w:sz w:val="16"/>
        <w:szCs w:val="15"/>
      </w:rPr>
      <w:t>Centro -</w:t>
    </w:r>
    <w:r w:rsidR="007203E3" w:rsidRPr="00977134">
      <w:rPr>
        <w:sz w:val="16"/>
        <w:szCs w:val="15"/>
      </w:rPr>
      <w:t xml:space="preserve"> Campo Grande-MS - (67) 3331-</w:t>
    </w:r>
    <w:proofErr w:type="gramStart"/>
    <w:r w:rsidR="007203E3" w:rsidRPr="00977134">
      <w:rPr>
        <w:sz w:val="16"/>
        <w:szCs w:val="15"/>
      </w:rPr>
      <w:t>5839</w:t>
    </w:r>
    <w:proofErr w:type="gramEnd"/>
  </w:p>
  <w:p w:rsidR="00B85DAA" w:rsidRPr="00977134" w:rsidRDefault="007203E3" w:rsidP="007C3CA5">
    <w:pPr>
      <w:pStyle w:val="Rodap"/>
      <w:jc w:val="center"/>
      <w:rPr>
        <w:sz w:val="15"/>
        <w:szCs w:val="15"/>
      </w:rPr>
    </w:pPr>
    <w:r>
      <w:rPr>
        <w:sz w:val="16"/>
        <w:szCs w:val="15"/>
      </w:rPr>
      <w:t xml:space="preserve">                                                       Em frente Shopping Norte-Sul Praza</w:t>
    </w:r>
  </w:p>
  <w:p w:rsidR="00B85DAA" w:rsidRDefault="003D37E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05" w:rsidRDefault="003E1905" w:rsidP="003E1905">
      <w:pPr>
        <w:spacing w:after="0" w:line="240" w:lineRule="auto"/>
      </w:pPr>
      <w:r>
        <w:separator/>
      </w:r>
    </w:p>
  </w:footnote>
  <w:footnote w:type="continuationSeparator" w:id="0">
    <w:p w:rsidR="003E1905" w:rsidRDefault="003E1905" w:rsidP="003E1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AA" w:rsidRDefault="007203E3" w:rsidP="001F5D01">
    <w:pPr>
      <w:pStyle w:val="Cabealho"/>
    </w:pPr>
    <w:r>
      <w:rPr>
        <w:noProof/>
        <w:lang w:eastAsia="pt-BR"/>
      </w:rPr>
      <w:drawing>
        <wp:inline distT="0" distB="0" distL="0" distR="0">
          <wp:extent cx="5701266" cy="648561"/>
          <wp:effectExtent l="19050" t="0" r="0" b="0"/>
          <wp:docPr id="7"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5701003" cy="648531"/>
                  </a:xfrm>
                  <a:prstGeom prst="rect">
                    <a:avLst/>
                  </a:prstGeom>
                  <a:noFill/>
                  <a:ln w="9525">
                    <a:noFill/>
                    <a:miter lim="800000"/>
                    <a:headEnd/>
                    <a:tailEnd/>
                  </a:ln>
                </pic:spPr>
              </pic:pic>
            </a:graphicData>
          </a:graphic>
        </wp:inline>
      </w:drawing>
    </w:r>
  </w:p>
  <w:p w:rsidR="00B85DAA" w:rsidRDefault="00626BED">
    <w:pPr>
      <w:pStyle w:val="Cabealho"/>
    </w:pPr>
    <w:r>
      <w:rPr>
        <w:noProof/>
      </w:rPr>
      <w:pict>
        <v:shapetype id="_x0000_t32" coordsize="21600,21600" o:spt="32" o:oned="t" path="m,l21600,21600e" filled="f">
          <v:path arrowok="t" fillok="f" o:connecttype="none"/>
          <o:lock v:ext="edit" shapetype="t"/>
        </v:shapetype>
        <v:shape id="_x0000_s1025" type="#_x0000_t32" style="position:absolute;margin-left:2pt;margin-top:4.8pt;width:443.75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A353C"/>
    <w:multiLevelType w:val="hybridMultilevel"/>
    <w:tmpl w:val="0E2ABCB6"/>
    <w:lvl w:ilvl="0" w:tplc="0416000D">
      <w:start w:val="1"/>
      <w:numFmt w:val="bullet"/>
      <w:lvlText w:val=""/>
      <w:lvlJc w:val="left"/>
      <w:pPr>
        <w:ind w:left="4260" w:hanging="360"/>
      </w:pPr>
      <w:rPr>
        <w:rFonts w:ascii="Wingdings" w:hAnsi="Wingdings" w:hint="default"/>
      </w:rPr>
    </w:lvl>
    <w:lvl w:ilvl="1" w:tplc="04160003" w:tentative="1">
      <w:start w:val="1"/>
      <w:numFmt w:val="bullet"/>
      <w:lvlText w:val="o"/>
      <w:lvlJc w:val="left"/>
      <w:pPr>
        <w:ind w:left="4980" w:hanging="360"/>
      </w:pPr>
      <w:rPr>
        <w:rFonts w:ascii="Courier New" w:hAnsi="Courier New" w:cs="Courier New" w:hint="default"/>
      </w:rPr>
    </w:lvl>
    <w:lvl w:ilvl="2" w:tplc="04160005" w:tentative="1">
      <w:start w:val="1"/>
      <w:numFmt w:val="bullet"/>
      <w:lvlText w:val=""/>
      <w:lvlJc w:val="left"/>
      <w:pPr>
        <w:ind w:left="5700" w:hanging="360"/>
      </w:pPr>
      <w:rPr>
        <w:rFonts w:ascii="Wingdings" w:hAnsi="Wingdings" w:hint="default"/>
      </w:rPr>
    </w:lvl>
    <w:lvl w:ilvl="3" w:tplc="04160001" w:tentative="1">
      <w:start w:val="1"/>
      <w:numFmt w:val="bullet"/>
      <w:lvlText w:val=""/>
      <w:lvlJc w:val="left"/>
      <w:pPr>
        <w:ind w:left="6420" w:hanging="360"/>
      </w:pPr>
      <w:rPr>
        <w:rFonts w:ascii="Symbol" w:hAnsi="Symbol" w:hint="default"/>
      </w:rPr>
    </w:lvl>
    <w:lvl w:ilvl="4" w:tplc="04160003" w:tentative="1">
      <w:start w:val="1"/>
      <w:numFmt w:val="bullet"/>
      <w:lvlText w:val="o"/>
      <w:lvlJc w:val="left"/>
      <w:pPr>
        <w:ind w:left="7140" w:hanging="360"/>
      </w:pPr>
      <w:rPr>
        <w:rFonts w:ascii="Courier New" w:hAnsi="Courier New" w:cs="Courier New" w:hint="default"/>
      </w:rPr>
    </w:lvl>
    <w:lvl w:ilvl="5" w:tplc="04160005" w:tentative="1">
      <w:start w:val="1"/>
      <w:numFmt w:val="bullet"/>
      <w:lvlText w:val=""/>
      <w:lvlJc w:val="left"/>
      <w:pPr>
        <w:ind w:left="7860" w:hanging="360"/>
      </w:pPr>
      <w:rPr>
        <w:rFonts w:ascii="Wingdings" w:hAnsi="Wingdings" w:hint="default"/>
      </w:rPr>
    </w:lvl>
    <w:lvl w:ilvl="6" w:tplc="04160001" w:tentative="1">
      <w:start w:val="1"/>
      <w:numFmt w:val="bullet"/>
      <w:lvlText w:val=""/>
      <w:lvlJc w:val="left"/>
      <w:pPr>
        <w:ind w:left="8580" w:hanging="360"/>
      </w:pPr>
      <w:rPr>
        <w:rFonts w:ascii="Symbol" w:hAnsi="Symbol" w:hint="default"/>
      </w:rPr>
    </w:lvl>
    <w:lvl w:ilvl="7" w:tplc="04160003" w:tentative="1">
      <w:start w:val="1"/>
      <w:numFmt w:val="bullet"/>
      <w:lvlText w:val="o"/>
      <w:lvlJc w:val="left"/>
      <w:pPr>
        <w:ind w:left="9300" w:hanging="360"/>
      </w:pPr>
      <w:rPr>
        <w:rFonts w:ascii="Courier New" w:hAnsi="Courier New" w:cs="Courier New" w:hint="default"/>
      </w:rPr>
    </w:lvl>
    <w:lvl w:ilvl="8" w:tplc="04160005" w:tentative="1">
      <w:start w:val="1"/>
      <w:numFmt w:val="bullet"/>
      <w:lvlText w:val=""/>
      <w:lvlJc w:val="left"/>
      <w:pPr>
        <w:ind w:left="10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o:shapelayout v:ext="edit">
      <o:idmap v:ext="edit" data="1"/>
      <o:rules v:ext="edit">
        <o:r id="V:Rule3" type="connector" idref="#_x0000_s1026"/>
        <o:r id="V:Rule4" type="connector" idref="#_x0000_s1025"/>
      </o:rules>
    </o:shapelayout>
  </w:hdrShapeDefaults>
  <w:footnotePr>
    <w:footnote w:id="-1"/>
    <w:footnote w:id="0"/>
  </w:footnotePr>
  <w:endnotePr>
    <w:endnote w:id="-1"/>
    <w:endnote w:id="0"/>
  </w:endnotePr>
  <w:compat/>
  <w:rsids>
    <w:rsidRoot w:val="007203E3"/>
    <w:rsid w:val="00117DFE"/>
    <w:rsid w:val="001F5267"/>
    <w:rsid w:val="003D37EC"/>
    <w:rsid w:val="003E1905"/>
    <w:rsid w:val="004E2E8C"/>
    <w:rsid w:val="005277C0"/>
    <w:rsid w:val="00571FD1"/>
    <w:rsid w:val="00626BED"/>
    <w:rsid w:val="007203E3"/>
    <w:rsid w:val="00926719"/>
    <w:rsid w:val="00A02D16"/>
    <w:rsid w:val="00A444E9"/>
    <w:rsid w:val="00D4327F"/>
    <w:rsid w:val="00E43E69"/>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203E3"/>
    <w:rPr>
      <w:b/>
      <w:bCs/>
    </w:rPr>
  </w:style>
  <w:style w:type="paragraph" w:styleId="Cabealho">
    <w:name w:val="header"/>
    <w:basedOn w:val="Normal"/>
    <w:link w:val="CabealhoChar"/>
    <w:unhideWhenUsed/>
    <w:rsid w:val="007203E3"/>
    <w:pPr>
      <w:tabs>
        <w:tab w:val="center" w:pos="4252"/>
        <w:tab w:val="right" w:pos="8504"/>
      </w:tabs>
      <w:spacing w:after="0" w:line="240" w:lineRule="auto"/>
    </w:pPr>
  </w:style>
  <w:style w:type="character" w:customStyle="1" w:styleId="CabealhoChar">
    <w:name w:val="Cabeçalho Char"/>
    <w:basedOn w:val="Fontepargpadro"/>
    <w:link w:val="Cabealho"/>
    <w:rsid w:val="007203E3"/>
  </w:style>
  <w:style w:type="paragraph" w:styleId="Rodap">
    <w:name w:val="footer"/>
    <w:basedOn w:val="Normal"/>
    <w:link w:val="RodapChar"/>
    <w:uiPriority w:val="99"/>
    <w:unhideWhenUsed/>
    <w:rsid w:val="007203E3"/>
    <w:pPr>
      <w:tabs>
        <w:tab w:val="center" w:pos="4252"/>
        <w:tab w:val="right" w:pos="8504"/>
      </w:tabs>
      <w:spacing w:after="0" w:line="240" w:lineRule="auto"/>
    </w:pPr>
  </w:style>
  <w:style w:type="character" w:customStyle="1" w:styleId="RodapChar">
    <w:name w:val="Rodapé Char"/>
    <w:basedOn w:val="Fontepargpadro"/>
    <w:link w:val="Rodap"/>
    <w:uiPriority w:val="99"/>
    <w:rsid w:val="007203E3"/>
  </w:style>
  <w:style w:type="paragraph" w:styleId="PargrafodaLista">
    <w:name w:val="List Paragraph"/>
    <w:basedOn w:val="Normal"/>
    <w:uiPriority w:val="34"/>
    <w:qFormat/>
    <w:rsid w:val="007203E3"/>
    <w:pPr>
      <w:ind w:left="720"/>
      <w:contextualSpacing/>
    </w:pPr>
  </w:style>
  <w:style w:type="table" w:styleId="Tabelacomgrade">
    <w:name w:val="Table Grid"/>
    <w:basedOn w:val="Tabelanormal"/>
    <w:uiPriority w:val="59"/>
    <w:rsid w:val="0072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203E3"/>
    <w:rPr>
      <w:i/>
      <w:iCs/>
    </w:rPr>
  </w:style>
  <w:style w:type="paragraph" w:styleId="Textodebalo">
    <w:name w:val="Balloon Text"/>
    <w:basedOn w:val="Normal"/>
    <w:link w:val="TextodebaloChar"/>
    <w:uiPriority w:val="99"/>
    <w:semiHidden/>
    <w:unhideWhenUsed/>
    <w:rsid w:val="007203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0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461642">
      <w:bodyDiv w:val="1"/>
      <w:marLeft w:val="0"/>
      <w:marRight w:val="0"/>
      <w:marTop w:val="0"/>
      <w:marBottom w:val="0"/>
      <w:divBdr>
        <w:top w:val="none" w:sz="0" w:space="0" w:color="auto"/>
        <w:left w:val="none" w:sz="0" w:space="0" w:color="auto"/>
        <w:bottom w:val="none" w:sz="0" w:space="0" w:color="auto"/>
        <w:right w:val="none" w:sz="0" w:space="0" w:color="auto"/>
      </w:divBdr>
    </w:div>
    <w:div w:id="785975564">
      <w:bodyDiv w:val="1"/>
      <w:marLeft w:val="0"/>
      <w:marRight w:val="0"/>
      <w:marTop w:val="0"/>
      <w:marBottom w:val="0"/>
      <w:divBdr>
        <w:top w:val="none" w:sz="0" w:space="0" w:color="auto"/>
        <w:left w:val="none" w:sz="0" w:space="0" w:color="auto"/>
        <w:bottom w:val="none" w:sz="0" w:space="0" w:color="auto"/>
        <w:right w:val="none" w:sz="0" w:space="0" w:color="auto"/>
      </w:divBdr>
      <w:divsChild>
        <w:div w:id="1859731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657853">
      <w:bodyDiv w:val="1"/>
      <w:marLeft w:val="0"/>
      <w:marRight w:val="0"/>
      <w:marTop w:val="0"/>
      <w:marBottom w:val="0"/>
      <w:divBdr>
        <w:top w:val="none" w:sz="0" w:space="0" w:color="auto"/>
        <w:left w:val="none" w:sz="0" w:space="0" w:color="auto"/>
        <w:bottom w:val="none" w:sz="0" w:space="0" w:color="auto"/>
        <w:right w:val="none" w:sz="0" w:space="0" w:color="auto"/>
      </w:divBdr>
    </w:div>
    <w:div w:id="1566598644">
      <w:bodyDiv w:val="1"/>
      <w:marLeft w:val="0"/>
      <w:marRight w:val="0"/>
      <w:marTop w:val="0"/>
      <w:marBottom w:val="0"/>
      <w:divBdr>
        <w:top w:val="none" w:sz="0" w:space="0" w:color="auto"/>
        <w:left w:val="none" w:sz="0" w:space="0" w:color="auto"/>
        <w:bottom w:val="none" w:sz="0" w:space="0" w:color="auto"/>
        <w:right w:val="none" w:sz="0" w:space="0" w:color="auto"/>
      </w:divBdr>
      <w:divsChild>
        <w:div w:id="651566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7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3.259-2016?OpenDocument" TargetMode="External"/><Relationship Id="rId13" Type="http://schemas.openxmlformats.org/officeDocument/2006/relationships/hyperlink" Target="http://www.planalto.gov.br/ccivil_03/LEIS/L898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planalto.gov.br/ccivil_03/LEIS/L89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898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analto.gov.br/ccivil_03/LEIS/L8981.htm" TargetMode="External"/><Relationship Id="rId4" Type="http://schemas.openxmlformats.org/officeDocument/2006/relationships/webSettings" Target="webSettings.xml"/><Relationship Id="rId9" Type="http://schemas.openxmlformats.org/officeDocument/2006/relationships/hyperlink" Target="http://www.planalto.gov.br/ccivil_03/LEIS/L8981.htm" TargetMode="External"/><Relationship Id="rId14" Type="http://schemas.openxmlformats.org/officeDocument/2006/relationships/hyperlink" Target="http://www.planalto.gov.br/ccivil_03/LEIS/L898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2183</Words>
  <Characters>11792</Characters>
  <Application>Microsoft Office Word</Application>
  <DocSecurity>0</DocSecurity>
  <Lines>98</Lines>
  <Paragraphs>27</Paragraphs>
  <ScaleCrop>false</ScaleCrop>
  <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4</cp:revision>
  <dcterms:created xsi:type="dcterms:W3CDTF">2016-07-07T13:04:00Z</dcterms:created>
  <dcterms:modified xsi:type="dcterms:W3CDTF">2016-07-07T13:24:00Z</dcterms:modified>
</cp:coreProperties>
</file>