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08" w:rsidRPr="008B6208" w:rsidRDefault="008B6208" w:rsidP="008B6208">
      <w:pPr>
        <w:pStyle w:val="NormalWeb"/>
        <w:jc w:val="both"/>
        <w:rPr>
          <w:rFonts w:ascii="Arial" w:hAnsi="Arial" w:cs="Arial"/>
        </w:rPr>
      </w:pPr>
      <w:r w:rsidRPr="008B6208">
        <w:rPr>
          <w:rStyle w:val="Forte"/>
          <w:rFonts w:ascii="Arial" w:hAnsi="Arial" w:cs="Arial"/>
        </w:rPr>
        <w:t xml:space="preserve"> SUCESSÃO DO SÓCIO:</w:t>
      </w:r>
    </w:p>
    <w:p w:rsidR="008B6208" w:rsidRDefault="008B6208" w:rsidP="008B620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Pr="008B6208">
        <w:rPr>
          <w:rFonts w:ascii="Arial" w:hAnsi="Arial" w:cs="Arial"/>
        </w:rPr>
        <w:t xml:space="preserve"> quotas sociais, por tratar-se de patrimônio do morto, fazem parte de uma universalidade de direitos que compõe a massa hereditária. </w:t>
      </w:r>
    </w:p>
    <w:p w:rsidR="008B6208" w:rsidRPr="008B6208" w:rsidRDefault="008B6208" w:rsidP="008B6208">
      <w:pPr>
        <w:pStyle w:val="NormalWeb"/>
        <w:jc w:val="both"/>
        <w:rPr>
          <w:rFonts w:ascii="Arial" w:hAnsi="Arial" w:cs="Arial"/>
        </w:rPr>
      </w:pPr>
      <w:r w:rsidRPr="008B6208">
        <w:rPr>
          <w:rFonts w:ascii="Arial" w:hAnsi="Arial" w:cs="Arial"/>
        </w:rPr>
        <w:t>Por óbvio, como se trata de patrimônio, deve ser apurado o valor pecuniário, para fins de composição da herança e divisão entre os herdeiros e, se for o caso, cônjuge meeiro.</w:t>
      </w:r>
    </w:p>
    <w:p w:rsidR="008B6208" w:rsidRPr="008B6208" w:rsidRDefault="008B6208" w:rsidP="008B6208">
      <w:pPr>
        <w:pStyle w:val="NormalWeb"/>
        <w:jc w:val="both"/>
        <w:rPr>
          <w:rFonts w:ascii="Arial" w:hAnsi="Arial" w:cs="Arial"/>
        </w:rPr>
      </w:pPr>
      <w:r w:rsidRPr="008B6208">
        <w:rPr>
          <w:rFonts w:ascii="Arial" w:hAnsi="Arial" w:cs="Arial"/>
        </w:rPr>
        <w:t xml:space="preserve">Neste diapasão, o Código Civil no artigo 1.028 regula a transmissão das quotas, </w:t>
      </w:r>
      <w:proofErr w:type="spellStart"/>
      <w:r w:rsidRPr="008B6208">
        <w:rPr>
          <w:rStyle w:val="nfase"/>
          <w:rFonts w:ascii="Arial" w:hAnsi="Arial" w:cs="Arial"/>
        </w:rPr>
        <w:t>verbis</w:t>
      </w:r>
      <w:proofErr w:type="spellEnd"/>
      <w:r w:rsidRPr="008B6208">
        <w:rPr>
          <w:rFonts w:ascii="Arial" w:hAnsi="Arial" w:cs="Arial"/>
        </w:rPr>
        <w:t>:</w:t>
      </w:r>
    </w:p>
    <w:p w:rsidR="008B6208" w:rsidRPr="008B6208" w:rsidRDefault="008B6208" w:rsidP="008B6208">
      <w:pPr>
        <w:pStyle w:val="NormalWeb"/>
        <w:jc w:val="both"/>
        <w:rPr>
          <w:rFonts w:ascii="Arial" w:hAnsi="Arial" w:cs="Arial"/>
        </w:rPr>
      </w:pPr>
      <w:r w:rsidRPr="008B6208">
        <w:rPr>
          <w:rFonts w:ascii="Arial" w:hAnsi="Arial" w:cs="Arial"/>
        </w:rPr>
        <w:t>Art. 1.028. No caso de morte de sócio, liquidar-se-á sua quota, salvo:</w:t>
      </w:r>
    </w:p>
    <w:p w:rsidR="008B6208" w:rsidRPr="008B6208" w:rsidRDefault="008B6208" w:rsidP="008B6208">
      <w:pPr>
        <w:pStyle w:val="NormalWeb"/>
        <w:jc w:val="both"/>
        <w:rPr>
          <w:rFonts w:ascii="Arial" w:hAnsi="Arial" w:cs="Arial"/>
        </w:rPr>
      </w:pPr>
      <w:r w:rsidRPr="008B6208">
        <w:rPr>
          <w:rFonts w:ascii="Arial" w:hAnsi="Arial" w:cs="Arial"/>
        </w:rPr>
        <w:t>I – se o contrato dispuser diferentemente;</w:t>
      </w:r>
    </w:p>
    <w:p w:rsidR="008B6208" w:rsidRPr="008B6208" w:rsidRDefault="008B6208" w:rsidP="008B6208">
      <w:pPr>
        <w:pStyle w:val="NormalWeb"/>
        <w:jc w:val="both"/>
        <w:rPr>
          <w:rFonts w:ascii="Arial" w:hAnsi="Arial" w:cs="Arial"/>
        </w:rPr>
      </w:pPr>
      <w:r w:rsidRPr="008B6208">
        <w:rPr>
          <w:rFonts w:ascii="Arial" w:hAnsi="Arial" w:cs="Arial"/>
        </w:rPr>
        <w:t>II – se os sócios remanescentes optarem pela dissolução da sociedade;</w:t>
      </w:r>
    </w:p>
    <w:p w:rsidR="008B6208" w:rsidRPr="008B6208" w:rsidRDefault="008B6208" w:rsidP="008B6208">
      <w:pPr>
        <w:pStyle w:val="NormalWeb"/>
        <w:jc w:val="both"/>
        <w:rPr>
          <w:rFonts w:ascii="Arial" w:hAnsi="Arial" w:cs="Arial"/>
        </w:rPr>
      </w:pPr>
      <w:r w:rsidRPr="008B6208">
        <w:rPr>
          <w:rFonts w:ascii="Arial" w:hAnsi="Arial" w:cs="Arial"/>
        </w:rPr>
        <w:t>III – se, por acordo com os herdeiros, regular-se a substituição do sócio falecido.</w:t>
      </w:r>
    </w:p>
    <w:p w:rsidR="005277C0" w:rsidRDefault="005277C0" w:rsidP="008B6208">
      <w:pPr>
        <w:jc w:val="both"/>
        <w:rPr>
          <w:rFonts w:ascii="Arial" w:hAnsi="Arial" w:cs="Arial"/>
        </w:rPr>
      </w:pPr>
    </w:p>
    <w:p w:rsidR="008C2FFA" w:rsidRPr="008C2FFA" w:rsidRDefault="008C2FFA" w:rsidP="008C2FFA">
      <w:pPr>
        <w:pStyle w:val="NormalWeb"/>
        <w:jc w:val="both"/>
        <w:rPr>
          <w:rFonts w:ascii="Arial" w:hAnsi="Arial" w:cs="Arial"/>
          <w:szCs w:val="20"/>
        </w:rPr>
      </w:pPr>
      <w:r w:rsidRPr="008C2FFA">
        <w:rPr>
          <w:rFonts w:ascii="Arial" w:hAnsi="Arial" w:cs="Arial"/>
          <w:szCs w:val="20"/>
        </w:rPr>
        <w:t xml:space="preserve">A esse respeito, diz o artigo 1027 do </w:t>
      </w:r>
      <w:hyperlink r:id="rId4" w:tgtFrame="_self" w:history="1">
        <w:r w:rsidRPr="008C2FFA">
          <w:rPr>
            <w:rStyle w:val="Hyperlink"/>
            <w:rFonts w:ascii="Arial" w:hAnsi="Arial" w:cs="Arial"/>
            <w:szCs w:val="20"/>
          </w:rPr>
          <w:t>Código Civil</w:t>
        </w:r>
      </w:hyperlink>
      <w:r w:rsidRPr="008C2FFA">
        <w:rPr>
          <w:rFonts w:ascii="Arial" w:hAnsi="Arial" w:cs="Arial"/>
          <w:szCs w:val="20"/>
        </w:rPr>
        <w:t>, que: “Os herdeiros do cônjuge de sócio, ou o cônjuge do que se separou judicialmente, não podem exigir desde logo a parte que lhes couber na quota social, mas concorrer à divisão periódica dos lucros, até que se liquide a sociedade”.</w:t>
      </w:r>
    </w:p>
    <w:p w:rsidR="008C2FFA" w:rsidRPr="008C2FFA" w:rsidRDefault="008C2FFA" w:rsidP="008C2FFA">
      <w:pPr>
        <w:pStyle w:val="NormalWeb"/>
        <w:jc w:val="both"/>
        <w:rPr>
          <w:rFonts w:ascii="Arial" w:hAnsi="Arial" w:cs="Arial"/>
          <w:szCs w:val="20"/>
        </w:rPr>
      </w:pPr>
      <w:r w:rsidRPr="008C2FFA">
        <w:rPr>
          <w:rFonts w:ascii="Arial" w:hAnsi="Arial" w:cs="Arial"/>
          <w:szCs w:val="20"/>
        </w:rPr>
        <w:t xml:space="preserve">Assim, como o </w:t>
      </w:r>
      <w:proofErr w:type="spellStart"/>
      <w:r w:rsidRPr="008C2FFA">
        <w:rPr>
          <w:rFonts w:ascii="Arial" w:hAnsi="Arial" w:cs="Arial"/>
          <w:szCs w:val="20"/>
        </w:rPr>
        <w:t>ex-cônjuge</w:t>
      </w:r>
      <w:proofErr w:type="spellEnd"/>
      <w:r w:rsidRPr="008C2FFA">
        <w:rPr>
          <w:rFonts w:ascii="Arial" w:hAnsi="Arial" w:cs="Arial"/>
          <w:szCs w:val="20"/>
        </w:rPr>
        <w:t xml:space="preserve"> não se torna sócio, mas sim titular do valor patrimonial da quota pertencente ao sócio (</w:t>
      </w:r>
      <w:proofErr w:type="spellStart"/>
      <w:r w:rsidRPr="008C2FFA">
        <w:rPr>
          <w:rFonts w:ascii="Arial" w:hAnsi="Arial" w:cs="Arial"/>
          <w:szCs w:val="20"/>
        </w:rPr>
        <w:t>ex-consorte</w:t>
      </w:r>
      <w:proofErr w:type="spellEnd"/>
      <w:r w:rsidRPr="008C2FFA">
        <w:rPr>
          <w:rFonts w:ascii="Arial" w:hAnsi="Arial" w:cs="Arial"/>
          <w:szCs w:val="20"/>
        </w:rPr>
        <w:t>), tem direito ao recebimento da quota parte referente à divisão periódica dos lucros, e não de ingressar na sociedade como sócio.</w:t>
      </w:r>
    </w:p>
    <w:p w:rsidR="008C2FFA" w:rsidRPr="008C2FFA" w:rsidRDefault="008C2FFA" w:rsidP="008C2FFA">
      <w:pPr>
        <w:pStyle w:val="NormalWeb"/>
        <w:jc w:val="both"/>
        <w:rPr>
          <w:rFonts w:ascii="Arial" w:hAnsi="Arial" w:cs="Arial"/>
          <w:szCs w:val="20"/>
        </w:rPr>
      </w:pPr>
      <w:r w:rsidRPr="008C2FFA">
        <w:rPr>
          <w:rFonts w:ascii="Arial" w:hAnsi="Arial" w:cs="Arial"/>
          <w:szCs w:val="20"/>
        </w:rPr>
        <w:t>Para prevenção de conflitos, recomenda-se em tais casos, a realização de um balanço patrimonial da empresa, verificando haveres e deveres da sociedade, definindo a quota parte do sócio que está divorciando. O valor encontrado deverá ser partilhado entre os cônjuges, conforme o regime de casamento escolhido e acima descrito, não tendo a sociedade, qualquer responsabilidade ou participação no caso, pois se trata de questão puramente familiar e não societária.</w:t>
      </w:r>
    </w:p>
    <w:p w:rsidR="008C2FFA" w:rsidRPr="00A42B13" w:rsidRDefault="008C2FFA" w:rsidP="008B6208">
      <w:pPr>
        <w:jc w:val="both"/>
        <w:rPr>
          <w:rFonts w:ascii="Arial" w:hAnsi="Arial" w:cs="Arial"/>
          <w:sz w:val="28"/>
        </w:rPr>
      </w:pPr>
    </w:p>
    <w:p w:rsidR="008B6208" w:rsidRPr="00A42B13" w:rsidRDefault="00A42B13" w:rsidP="008B6208">
      <w:pPr>
        <w:jc w:val="both"/>
        <w:rPr>
          <w:rFonts w:ascii="Arial" w:hAnsi="Arial" w:cs="Arial"/>
          <w:sz w:val="28"/>
        </w:rPr>
      </w:pPr>
      <w:r w:rsidRPr="00A42B13">
        <w:rPr>
          <w:rFonts w:ascii="Arial" w:hAnsi="Arial" w:cs="Arial"/>
          <w:sz w:val="24"/>
          <w:szCs w:val="20"/>
        </w:rPr>
        <w:t>Nos atos empresariais, o empresário casado pode, sem necessidade de outorga conjugal, qualquer que seja o regime de bens, alienar os imóveis que integram o patrimônio da empresa ou gravá-los de ônus real. Ou seja, qualquer um dos cônjuges, pode se desfazer de qualquer bem móvel ou imóvel que esteja em nome da sociedade, sem que o outro cônjuge concorde ou assine os documentos de transferência.</w:t>
      </w:r>
    </w:p>
    <w:sectPr w:rsidR="008B6208" w:rsidRPr="00A42B13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208"/>
    <w:rsid w:val="001F5267"/>
    <w:rsid w:val="002911F9"/>
    <w:rsid w:val="004A5A45"/>
    <w:rsid w:val="004E2E8C"/>
    <w:rsid w:val="005277C0"/>
    <w:rsid w:val="00571FD1"/>
    <w:rsid w:val="00607173"/>
    <w:rsid w:val="008B6208"/>
    <w:rsid w:val="008C2FFA"/>
    <w:rsid w:val="00926719"/>
    <w:rsid w:val="00A02D16"/>
    <w:rsid w:val="00A42B13"/>
    <w:rsid w:val="00D4327F"/>
    <w:rsid w:val="00FB5086"/>
    <w:rsid w:val="00FE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6208"/>
    <w:rPr>
      <w:b/>
      <w:bCs/>
    </w:rPr>
  </w:style>
  <w:style w:type="character" w:styleId="nfase">
    <w:name w:val="Emphasis"/>
    <w:basedOn w:val="Fontepargpadro"/>
    <w:uiPriority w:val="20"/>
    <w:qFormat/>
    <w:rsid w:val="008B6208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8C2F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galhas.com.br/dePeso/16,MI161933,31047-Partilha+das+quotas+empresariais+no+caso+de+divorcio+entre+os+conjug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4</cp:revision>
  <dcterms:created xsi:type="dcterms:W3CDTF">2016-12-12T17:38:00Z</dcterms:created>
  <dcterms:modified xsi:type="dcterms:W3CDTF">2016-12-12T17:40:00Z</dcterms:modified>
</cp:coreProperties>
</file>