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834D8" w14:textId="77777777" w:rsidR="00BE6DB5" w:rsidRPr="00BE6DB5" w:rsidRDefault="00BE6DB5" w:rsidP="00BE6DB5">
      <w:pPr>
        <w:ind w:left="1701"/>
        <w:jc w:val="right"/>
        <w:rPr>
          <w:rFonts w:cs="Arial"/>
          <w:b/>
        </w:rPr>
      </w:pPr>
      <w:r w:rsidRPr="00BE6DB5">
        <w:rPr>
          <w:rFonts w:cs="Arial"/>
          <w:b/>
        </w:rPr>
        <w:t xml:space="preserve">Campo Grande (MS), 06 de </w:t>
      </w:r>
      <w:proofErr w:type="gramStart"/>
      <w:r w:rsidRPr="00BE6DB5">
        <w:rPr>
          <w:rFonts w:cs="Arial"/>
          <w:b/>
        </w:rPr>
        <w:t>Outubro</w:t>
      </w:r>
      <w:proofErr w:type="gramEnd"/>
      <w:r w:rsidRPr="00BE6DB5">
        <w:rPr>
          <w:rFonts w:cs="Arial"/>
          <w:b/>
        </w:rPr>
        <w:t xml:space="preserve"> de 2022.</w:t>
      </w:r>
    </w:p>
    <w:p w14:paraId="2618098C" w14:textId="77777777" w:rsidR="00BE6DB5" w:rsidRDefault="00BE6DB5" w:rsidP="008E379E">
      <w:pPr>
        <w:jc w:val="both"/>
        <w:rPr>
          <w:rFonts w:cs="Arial"/>
          <w:b/>
          <w:bCs/>
        </w:rPr>
      </w:pPr>
    </w:p>
    <w:p w14:paraId="73ACF199" w14:textId="59F4F997" w:rsidR="008E379E" w:rsidRDefault="008E379E" w:rsidP="008E379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À</w:t>
      </w:r>
    </w:p>
    <w:p w14:paraId="2106E9BB" w14:textId="40513AE7" w:rsidR="008E379E" w:rsidRDefault="008E379E" w:rsidP="008E379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Magaly B</w:t>
      </w:r>
      <w:r w:rsidR="00BE6DB5">
        <w:rPr>
          <w:rFonts w:cs="Arial"/>
          <w:b/>
          <w:bCs/>
        </w:rPr>
        <w:t xml:space="preserve">issacot, </w:t>
      </w:r>
      <w:r>
        <w:rPr>
          <w:rFonts w:cs="Arial"/>
          <w:b/>
          <w:bCs/>
        </w:rPr>
        <w:t>Raquel B</w:t>
      </w:r>
      <w:r w:rsidR="00BE6DB5">
        <w:rPr>
          <w:rFonts w:cs="Arial"/>
          <w:b/>
          <w:bCs/>
        </w:rPr>
        <w:t xml:space="preserve">issacot, </w:t>
      </w:r>
      <w:r>
        <w:rPr>
          <w:rFonts w:cs="Arial"/>
          <w:b/>
          <w:bCs/>
        </w:rPr>
        <w:t xml:space="preserve">Amilton </w:t>
      </w:r>
      <w:r w:rsidR="009B7DAB">
        <w:rPr>
          <w:rFonts w:cs="Arial"/>
          <w:b/>
          <w:bCs/>
        </w:rPr>
        <w:t>de Oliveira.</w:t>
      </w:r>
    </w:p>
    <w:p w14:paraId="1509DCAD" w14:textId="7FE38EDA" w:rsidR="008E379E" w:rsidRDefault="008E379E" w:rsidP="008E379E">
      <w:pPr>
        <w:jc w:val="both"/>
        <w:rPr>
          <w:rFonts w:cs="Arial"/>
          <w:b/>
          <w:bCs/>
        </w:rPr>
      </w:pPr>
    </w:p>
    <w:p w14:paraId="57EC43F2" w14:textId="77777777" w:rsidR="00BE6DB5" w:rsidRDefault="00BE6DB5" w:rsidP="008E379E">
      <w:pPr>
        <w:jc w:val="both"/>
        <w:rPr>
          <w:rFonts w:cs="Arial"/>
          <w:b/>
          <w:bCs/>
        </w:rPr>
      </w:pPr>
    </w:p>
    <w:p w14:paraId="6892360F" w14:textId="3E70E84F" w:rsidR="009B7DAB" w:rsidRDefault="009B7DAB" w:rsidP="008E379E">
      <w:p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Cs/>
        </w:rPr>
        <w:t xml:space="preserve">Por meio desta comunicamos que na data de </w:t>
      </w:r>
      <w:r w:rsidRPr="00BE6DB5">
        <w:rPr>
          <w:rFonts w:cs="Arial"/>
          <w:b/>
          <w:bCs/>
        </w:rPr>
        <w:t>03/10/2022</w:t>
      </w:r>
      <w:r>
        <w:rPr>
          <w:rFonts w:cs="Arial"/>
          <w:bCs/>
        </w:rPr>
        <w:t xml:space="preserve">, foi realizada audiência conciliatória com o Reclamante da Ação de Execução Trabalhista </w:t>
      </w:r>
      <w:r w:rsidR="006325FC">
        <w:rPr>
          <w:rFonts w:cs="Arial"/>
          <w:bCs/>
        </w:rPr>
        <w:t xml:space="preserve">de Naviraí-MS </w:t>
      </w:r>
      <w:r>
        <w:rPr>
          <w:rFonts w:cs="Arial"/>
          <w:bCs/>
        </w:rPr>
        <w:t>– Sr. Dionizio Teixeira, ficando estabelecido que:</w:t>
      </w:r>
    </w:p>
    <w:p w14:paraId="3E10A609" w14:textId="77777777" w:rsidR="009B7DAB" w:rsidRDefault="009B7DAB" w:rsidP="008E379E">
      <w:pPr>
        <w:jc w:val="both"/>
        <w:rPr>
          <w:rFonts w:cs="Arial"/>
          <w:bCs/>
        </w:rPr>
      </w:pPr>
    </w:p>
    <w:p w14:paraId="01D90AB5" w14:textId="7DB4D360" w:rsidR="009B7DAB" w:rsidRDefault="009B7DAB" w:rsidP="008E379E">
      <w:pPr>
        <w:jc w:val="both"/>
      </w:pPr>
      <w:r>
        <w:t>I</w:t>
      </w:r>
      <w:r w:rsidR="008E379E">
        <w:t xml:space="preserve"> </w:t>
      </w:r>
      <w:r>
        <w:t>–</w:t>
      </w:r>
      <w:r w:rsidR="008E379E">
        <w:t xml:space="preserve"> </w:t>
      </w:r>
      <w:r>
        <w:t xml:space="preserve">O valor total da dívida trabalhista </w:t>
      </w:r>
      <w:r w:rsidR="006325FC">
        <w:t xml:space="preserve">atualizada era de R$ 191.672,00, sendo reduzida após ampla negociação para o valor </w:t>
      </w:r>
      <w:r>
        <w:t xml:space="preserve">de </w:t>
      </w:r>
      <w:r w:rsidR="008E379E" w:rsidRPr="006325FC">
        <w:rPr>
          <w:b/>
          <w:u w:val="single"/>
        </w:rPr>
        <w:t xml:space="preserve">R$ 152.000,00. </w:t>
      </w:r>
    </w:p>
    <w:p w14:paraId="5BEE3762" w14:textId="77777777" w:rsidR="009B7DAB" w:rsidRDefault="009B7DAB" w:rsidP="008E379E">
      <w:pPr>
        <w:jc w:val="both"/>
      </w:pPr>
    </w:p>
    <w:p w14:paraId="3D78FFA4" w14:textId="04698234" w:rsidR="009B7DAB" w:rsidRDefault="009B7DAB" w:rsidP="008E379E">
      <w:pPr>
        <w:jc w:val="both"/>
      </w:pPr>
      <w:r>
        <w:t xml:space="preserve">II </w:t>
      </w:r>
      <w:r w:rsidR="00441A9B">
        <w:t>– Ficando acordado que o</w:t>
      </w:r>
      <w:r w:rsidR="008E379E">
        <w:t xml:space="preserve"> pagamento será efetuado</w:t>
      </w:r>
      <w:r>
        <w:t xml:space="preserve"> da seg</w:t>
      </w:r>
      <w:r w:rsidR="00441A9B">
        <w:t>u</w:t>
      </w:r>
      <w:r>
        <w:t>inte forma</w:t>
      </w:r>
      <w:r w:rsidR="008E379E">
        <w:t>:</w:t>
      </w:r>
    </w:p>
    <w:p w14:paraId="5BCA702E" w14:textId="77777777" w:rsidR="009B7DAB" w:rsidRDefault="009B7DAB" w:rsidP="008E379E">
      <w:pPr>
        <w:jc w:val="both"/>
      </w:pPr>
    </w:p>
    <w:p w14:paraId="63063C93" w14:textId="12C54D89" w:rsidR="009B7DAB" w:rsidRDefault="009B7DAB" w:rsidP="009B7DAB">
      <w:pPr>
        <w:pStyle w:val="PargrafodaLista"/>
        <w:numPr>
          <w:ilvl w:val="0"/>
          <w:numId w:val="36"/>
        </w:numPr>
        <w:jc w:val="both"/>
      </w:pPr>
      <w:r>
        <w:t>Entrada</w:t>
      </w:r>
      <w:r w:rsidR="008E379E">
        <w:t xml:space="preserve"> no valor de </w:t>
      </w:r>
      <w:r w:rsidR="008E379E" w:rsidRPr="00441A9B">
        <w:rPr>
          <w:b/>
        </w:rPr>
        <w:t>R$ 62.000,00</w:t>
      </w:r>
      <w:r w:rsidRPr="00441A9B">
        <w:rPr>
          <w:b/>
        </w:rPr>
        <w:t xml:space="preserve"> </w:t>
      </w:r>
      <w:r>
        <w:t xml:space="preserve">– a ser paga no </w:t>
      </w:r>
      <w:r w:rsidRPr="00441A9B">
        <w:rPr>
          <w:b/>
        </w:rPr>
        <w:t>dia 17/10/2022</w:t>
      </w:r>
      <w:r>
        <w:t xml:space="preserve"> – via PIX;</w:t>
      </w:r>
    </w:p>
    <w:p w14:paraId="4D831A24" w14:textId="77777777" w:rsidR="009B7DAB" w:rsidRDefault="009B7DAB" w:rsidP="009B7DAB">
      <w:pPr>
        <w:pStyle w:val="PargrafodaLista"/>
        <w:ind w:left="720"/>
        <w:jc w:val="both"/>
      </w:pPr>
    </w:p>
    <w:p w14:paraId="0DC68B52" w14:textId="4E2248A1" w:rsidR="009B7DAB" w:rsidRDefault="009B7DAB" w:rsidP="007723C5">
      <w:pPr>
        <w:pStyle w:val="PargrafodaLista"/>
        <w:numPr>
          <w:ilvl w:val="0"/>
          <w:numId w:val="36"/>
        </w:numPr>
        <w:jc w:val="both"/>
      </w:pPr>
      <w:r w:rsidRPr="00441A9B">
        <w:rPr>
          <w:b/>
        </w:rPr>
        <w:t>9 parcelas,</w:t>
      </w:r>
      <w:r>
        <w:t xml:space="preserve"> iguais e fixas </w:t>
      </w:r>
      <w:r w:rsidRPr="00441A9B">
        <w:rPr>
          <w:b/>
        </w:rPr>
        <w:t xml:space="preserve">de R$ 10.000,00 </w:t>
      </w:r>
      <w:r>
        <w:t xml:space="preserve">cada, com vencimento no </w:t>
      </w:r>
      <w:r w:rsidRPr="00441A9B">
        <w:rPr>
          <w:b/>
        </w:rPr>
        <w:t>dia 17</w:t>
      </w:r>
      <w:r>
        <w:t xml:space="preserve"> de cada mês</w:t>
      </w:r>
      <w:r>
        <w:t>.</w:t>
      </w:r>
    </w:p>
    <w:p w14:paraId="4D2F54C6" w14:textId="77777777" w:rsidR="009B7DAB" w:rsidRDefault="009B7DAB" w:rsidP="009B7DAB">
      <w:pPr>
        <w:pStyle w:val="PargrafodaLista"/>
      </w:pPr>
    </w:p>
    <w:p w14:paraId="30CFA4BE" w14:textId="77777777" w:rsidR="009B7DAB" w:rsidRDefault="009B7DAB" w:rsidP="008E379E">
      <w:pPr>
        <w:jc w:val="both"/>
      </w:pPr>
      <w:r>
        <w:t>I</w:t>
      </w:r>
      <w:r w:rsidR="008E379E">
        <w:t xml:space="preserve">II </w:t>
      </w:r>
      <w:r>
        <w:t>–</w:t>
      </w:r>
      <w:r w:rsidR="008E379E">
        <w:t xml:space="preserve"> </w:t>
      </w:r>
      <w:r>
        <w:t xml:space="preserve">O não pagamento </w:t>
      </w:r>
      <w:r w:rsidR="008E379E">
        <w:t xml:space="preserve">acarretará: </w:t>
      </w:r>
    </w:p>
    <w:p w14:paraId="47C55BB0" w14:textId="77777777" w:rsidR="009B7DAB" w:rsidRDefault="009B7DAB" w:rsidP="008E379E">
      <w:pPr>
        <w:jc w:val="both"/>
      </w:pPr>
    </w:p>
    <w:p w14:paraId="26E7401A" w14:textId="1CE119B2" w:rsidR="009B7DAB" w:rsidRDefault="00441A9B" w:rsidP="009B7DAB">
      <w:pPr>
        <w:pStyle w:val="PargrafodaLista"/>
        <w:numPr>
          <w:ilvl w:val="0"/>
          <w:numId w:val="37"/>
        </w:numPr>
        <w:jc w:val="both"/>
      </w:pPr>
      <w:r>
        <w:t>O</w:t>
      </w:r>
      <w:r w:rsidR="008E379E">
        <w:t xml:space="preserve"> vencimento antecipado das parcelas vincendas</w:t>
      </w:r>
      <w:r w:rsidR="009B7DAB">
        <w:t>;</w:t>
      </w:r>
    </w:p>
    <w:p w14:paraId="6C288F16" w14:textId="77777777" w:rsidR="009B7DAB" w:rsidRDefault="009B7DAB" w:rsidP="009B7DAB">
      <w:pPr>
        <w:pStyle w:val="PargrafodaLista"/>
        <w:ind w:left="720"/>
        <w:jc w:val="both"/>
      </w:pPr>
    </w:p>
    <w:p w14:paraId="503F65A8" w14:textId="6BDAB78F" w:rsidR="009B7DAB" w:rsidRDefault="00441A9B" w:rsidP="009B7DAB">
      <w:pPr>
        <w:pStyle w:val="PargrafodaLista"/>
        <w:numPr>
          <w:ilvl w:val="0"/>
          <w:numId w:val="37"/>
        </w:numPr>
        <w:jc w:val="both"/>
      </w:pPr>
      <w:r>
        <w:t xml:space="preserve">O </w:t>
      </w:r>
      <w:r w:rsidR="009B7DAB">
        <w:t>pagamento de cláusula penal de 30% sobre o saldo remanescente.</w:t>
      </w:r>
    </w:p>
    <w:p w14:paraId="564B1EBA" w14:textId="77777777" w:rsidR="009B7DAB" w:rsidRDefault="009B7DAB" w:rsidP="009B7DAB">
      <w:pPr>
        <w:pStyle w:val="PargrafodaLista"/>
      </w:pPr>
    </w:p>
    <w:p w14:paraId="5AC76586" w14:textId="0137A144" w:rsidR="009B7DAB" w:rsidRDefault="00441A9B" w:rsidP="009B7DAB">
      <w:pPr>
        <w:pStyle w:val="PargrafodaLista"/>
        <w:numPr>
          <w:ilvl w:val="0"/>
          <w:numId w:val="37"/>
        </w:numPr>
        <w:jc w:val="both"/>
      </w:pPr>
      <w:r>
        <w:t>A</w:t>
      </w:r>
      <w:r w:rsidR="009B7DAB">
        <w:t>tualização pelo IPCA-E com juros de mora sobre o valor atualizado, 1% ao mês.</w:t>
      </w:r>
    </w:p>
    <w:p w14:paraId="21D8B6C1" w14:textId="77777777" w:rsidR="009B7DAB" w:rsidRDefault="009B7DAB" w:rsidP="009B7DAB">
      <w:pPr>
        <w:pStyle w:val="PargrafodaLista"/>
      </w:pPr>
    </w:p>
    <w:p w14:paraId="2928FE95" w14:textId="3A9F1449" w:rsidR="009B7DAB" w:rsidRDefault="009B7DAB" w:rsidP="009B7DAB">
      <w:pPr>
        <w:pStyle w:val="PargrafodaLista"/>
        <w:numPr>
          <w:ilvl w:val="0"/>
          <w:numId w:val="37"/>
        </w:numPr>
        <w:jc w:val="both"/>
      </w:pPr>
      <w:r>
        <w:t xml:space="preserve">As despesas remanescentes </w:t>
      </w:r>
      <w:r>
        <w:t xml:space="preserve">das custas processuais </w:t>
      </w:r>
      <w:r>
        <w:t>deverão ser comprovadas nos autos em até 30 dias após o pagamento da última parcela do acordo.</w:t>
      </w:r>
    </w:p>
    <w:p w14:paraId="74D0EDB9" w14:textId="77777777" w:rsidR="009B7DAB" w:rsidRDefault="009B7DAB" w:rsidP="009B7DAB">
      <w:pPr>
        <w:pStyle w:val="PargrafodaLista"/>
        <w:ind w:left="720"/>
        <w:jc w:val="both"/>
      </w:pPr>
    </w:p>
    <w:p w14:paraId="3BD521F1" w14:textId="7B4B31EA" w:rsidR="00037C6B" w:rsidRDefault="008E379E" w:rsidP="008E379E">
      <w:pPr>
        <w:jc w:val="both"/>
      </w:pPr>
      <w:r>
        <w:t xml:space="preserve">IV </w:t>
      </w:r>
      <w:r w:rsidR="00037C6B">
        <w:t>–</w:t>
      </w:r>
      <w:r w:rsidR="009B7DAB">
        <w:t xml:space="preserve"> </w:t>
      </w:r>
      <w:r w:rsidR="00037C6B">
        <w:t>Foi realizada a pe</w:t>
      </w:r>
      <w:r>
        <w:t xml:space="preserve">nhora do imóvel de matrícula 5973, registrado no Cartório de Registro de Imóveis de Presidente Epitácio </w:t>
      </w:r>
      <w:r w:rsidR="00037C6B">
        <w:t>–</w:t>
      </w:r>
      <w:r>
        <w:t xml:space="preserve"> SP</w:t>
      </w:r>
      <w:r w:rsidR="00037C6B">
        <w:t>, ficando Raquel B</w:t>
      </w:r>
      <w:r w:rsidR="00E51699">
        <w:t>issacot com</w:t>
      </w:r>
      <w:r w:rsidR="00037C6B">
        <w:t>o fiel depositária do bem.</w:t>
      </w:r>
    </w:p>
    <w:p w14:paraId="1F02A753" w14:textId="77777777" w:rsidR="00037C6B" w:rsidRDefault="00037C6B" w:rsidP="008E379E">
      <w:pPr>
        <w:jc w:val="both"/>
      </w:pPr>
    </w:p>
    <w:p w14:paraId="522B6538" w14:textId="15582D8E" w:rsidR="00037C6B" w:rsidRDefault="00037C6B" w:rsidP="008E379E">
      <w:pPr>
        <w:jc w:val="both"/>
      </w:pPr>
      <w:r>
        <w:t>V – A venda do bem foi desconstituida, retornando o imóvel para o nome da Raquel Bissacot.</w:t>
      </w:r>
    </w:p>
    <w:p w14:paraId="59ED2108" w14:textId="77777777" w:rsidR="00037C6B" w:rsidRDefault="00037C6B" w:rsidP="008E379E">
      <w:pPr>
        <w:jc w:val="both"/>
      </w:pPr>
    </w:p>
    <w:p w14:paraId="0EBA4BC2" w14:textId="0897A81B" w:rsidR="00037C6B" w:rsidRDefault="00037C6B" w:rsidP="008E379E">
      <w:pPr>
        <w:jc w:val="both"/>
      </w:pPr>
      <w:r>
        <w:t xml:space="preserve">VI </w:t>
      </w:r>
      <w:r w:rsidR="00E51699">
        <w:t>–</w:t>
      </w:r>
      <w:r>
        <w:t xml:space="preserve"> O</w:t>
      </w:r>
      <w:r w:rsidR="008E379E">
        <w:t xml:space="preserve"> levantamento da penhora somente ocorrer</w:t>
      </w:r>
      <w:r>
        <w:t>á</w:t>
      </w:r>
      <w:r w:rsidR="008E379E">
        <w:t xml:space="preserve"> após a quitação integral d</w:t>
      </w:r>
      <w:r>
        <w:t>o</w:t>
      </w:r>
      <w:r w:rsidR="008E379E">
        <w:t xml:space="preserve"> acordo.</w:t>
      </w:r>
    </w:p>
    <w:p w14:paraId="514E7753" w14:textId="77777777" w:rsidR="00037C6B" w:rsidRDefault="00037C6B" w:rsidP="008E379E">
      <w:pPr>
        <w:jc w:val="both"/>
      </w:pPr>
    </w:p>
    <w:p w14:paraId="55C2B61C" w14:textId="15C7D07F" w:rsidR="008E379E" w:rsidRDefault="008E379E" w:rsidP="008E379E">
      <w:pPr>
        <w:jc w:val="both"/>
      </w:pPr>
      <w:r>
        <w:t>VI</w:t>
      </w:r>
      <w:r w:rsidR="00037C6B">
        <w:t>I</w:t>
      </w:r>
      <w:r>
        <w:t xml:space="preserve"> </w:t>
      </w:r>
      <w:r w:rsidR="00037C6B">
        <w:t>–</w:t>
      </w:r>
      <w:r>
        <w:t xml:space="preserve"> </w:t>
      </w:r>
      <w:r w:rsidR="00037C6B">
        <w:t>Foram liberadas</w:t>
      </w:r>
      <w:r>
        <w:t xml:space="preserve"> as constrições/restrições existentes sobre </w:t>
      </w:r>
      <w:r w:rsidR="00037C6B">
        <w:t>os veículos.</w:t>
      </w:r>
    </w:p>
    <w:p w14:paraId="2D965BE0" w14:textId="19CE950D" w:rsidR="00037C6B" w:rsidRDefault="00037C6B" w:rsidP="008E379E">
      <w:pPr>
        <w:jc w:val="both"/>
      </w:pPr>
    </w:p>
    <w:p w14:paraId="2538CC4C" w14:textId="65D6A692" w:rsidR="00E51699" w:rsidRDefault="00E51699" w:rsidP="008E379E">
      <w:pPr>
        <w:jc w:val="both"/>
      </w:pPr>
      <w:r>
        <w:t>IX</w:t>
      </w:r>
      <w:r w:rsidR="006325FC">
        <w:t xml:space="preserve"> – Após o pagamento integral do acordo o processo será encerrado.</w:t>
      </w:r>
    </w:p>
    <w:p w14:paraId="681BDB3E" w14:textId="77777777" w:rsidR="006325FC" w:rsidRDefault="006325FC" w:rsidP="008E379E">
      <w:pPr>
        <w:jc w:val="both"/>
        <w:rPr>
          <w:rFonts w:cs="Arial"/>
          <w:b/>
          <w:bCs/>
        </w:rPr>
      </w:pPr>
      <w:bookmarkStart w:id="0" w:name="_GoBack"/>
      <w:bookmarkEnd w:id="0"/>
    </w:p>
    <w:p w14:paraId="226455C3" w14:textId="5BAB5902" w:rsidR="008E379E" w:rsidRDefault="00834449" w:rsidP="008E379E">
      <w:p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Cs/>
        </w:rPr>
        <w:t>A</w:t>
      </w:r>
      <w:r w:rsidR="00F314C5">
        <w:rPr>
          <w:rFonts w:cs="Arial"/>
          <w:bCs/>
        </w:rPr>
        <w:t>ssim, encerrada as negociações sobre o débito trabalhista, apresentamos os honorários advocatícios</w:t>
      </w:r>
      <w:r w:rsidR="00BE6DB5">
        <w:rPr>
          <w:rFonts w:cs="Arial"/>
          <w:bCs/>
        </w:rPr>
        <w:t xml:space="preserve">, referente aos trabalhos conduzidos até aqui. Sendo estes no valor de </w:t>
      </w:r>
      <w:r w:rsidR="00BE6DB5" w:rsidRPr="00BE6DB5">
        <w:rPr>
          <w:rFonts w:cs="Arial"/>
          <w:b/>
          <w:bCs/>
        </w:rPr>
        <w:t>R$ 2,100,00</w:t>
      </w:r>
      <w:r w:rsidR="00BE6DB5">
        <w:rPr>
          <w:rFonts w:cs="Arial"/>
          <w:bCs/>
        </w:rPr>
        <w:t xml:space="preserve"> (dois mil e cem reais), a serem pagos via PIX: </w:t>
      </w:r>
      <w:hyperlink r:id="rId8" w:history="1">
        <w:r w:rsidR="00BE6DB5" w:rsidRPr="00243D49">
          <w:rPr>
            <w:rStyle w:val="Hyperlink"/>
            <w:rFonts w:cs="Arial"/>
            <w:bCs/>
          </w:rPr>
          <w:t>juridico@agmcontabilidade.com.br</w:t>
        </w:r>
      </w:hyperlink>
      <w:r w:rsidR="00BE6DB5">
        <w:rPr>
          <w:rFonts w:cs="Arial"/>
          <w:bCs/>
        </w:rPr>
        <w:t>.</w:t>
      </w:r>
    </w:p>
    <w:p w14:paraId="7D6AEF81" w14:textId="268F8BC1" w:rsidR="00BE6DB5" w:rsidRDefault="00BE6DB5" w:rsidP="008E379E">
      <w:pPr>
        <w:jc w:val="both"/>
        <w:rPr>
          <w:rFonts w:cs="Arial"/>
          <w:bCs/>
        </w:rPr>
      </w:pPr>
    </w:p>
    <w:p w14:paraId="4A4E3A97" w14:textId="46E3396E" w:rsidR="00BE6DB5" w:rsidRDefault="00BE6DB5" w:rsidP="00BE6DB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Dessa forma, colocamo-nos a disposição para quaisquer outros esclarecimentos.</w:t>
      </w:r>
    </w:p>
    <w:p w14:paraId="161EF96B" w14:textId="77777777" w:rsidR="00BE6DB5" w:rsidRPr="00BE6DB5" w:rsidRDefault="00BE6DB5" w:rsidP="00BE6DB5">
      <w:pPr>
        <w:jc w:val="both"/>
        <w:rPr>
          <w:rFonts w:cs="Arial"/>
          <w:bCs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1626"/>
        <w:gridCol w:w="4065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726560050" r:id="rId10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12C431B4" w:rsidR="00791CE1" w:rsidRDefault="00791CE1" w:rsidP="00791CE1">
      <w:pPr>
        <w:ind w:left="1701"/>
        <w:jc w:val="both"/>
        <w:rPr>
          <w:rFonts w:cs="Arial"/>
          <w:sz w:val="20"/>
        </w:rPr>
      </w:pPr>
    </w:p>
    <w:sectPr w:rsidR="00791CE1" w:rsidSect="00803881">
      <w:headerReference w:type="default" r:id="rId11"/>
      <w:footerReference w:type="even" r:id="rId12"/>
      <w:footerReference w:type="default" r:id="rId13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43566B28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6DB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97E911" w:rsidR="00D76835" w:rsidRDefault="008E379E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0DA9C284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0A03D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26560051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542600F0" w:rsidR="00D76835" w:rsidRPr="00042934" w:rsidRDefault="008E379E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6599B0F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E7A2A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BE6DB5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0B21D448" w:rsidR="00D76835" w:rsidRPr="00042934" w:rsidRDefault="008E379E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33381F9F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8255" r="12700" b="1079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0E033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E7DF0"/>
    <w:multiLevelType w:val="hybridMultilevel"/>
    <w:tmpl w:val="208E3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1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5EC90D91"/>
    <w:multiLevelType w:val="hybridMultilevel"/>
    <w:tmpl w:val="7FDA3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28"/>
  </w:num>
  <w:num w:numId="5">
    <w:abstractNumId w:val="31"/>
  </w:num>
  <w:num w:numId="6">
    <w:abstractNumId w:val="13"/>
  </w:num>
  <w:num w:numId="7">
    <w:abstractNumId w:val="4"/>
  </w:num>
  <w:num w:numId="8">
    <w:abstractNumId w:val="32"/>
  </w:num>
  <w:num w:numId="9">
    <w:abstractNumId w:val="6"/>
  </w:num>
  <w:num w:numId="10">
    <w:abstractNumId w:val="35"/>
  </w:num>
  <w:num w:numId="11">
    <w:abstractNumId w:val="12"/>
  </w:num>
  <w:num w:numId="12">
    <w:abstractNumId w:val="33"/>
  </w:num>
  <w:num w:numId="13">
    <w:abstractNumId w:val="29"/>
  </w:num>
  <w:num w:numId="14">
    <w:abstractNumId w:val="2"/>
  </w:num>
  <w:num w:numId="15">
    <w:abstractNumId w:val="0"/>
  </w:num>
  <w:num w:numId="16">
    <w:abstractNumId w:val="25"/>
  </w:num>
  <w:num w:numId="17">
    <w:abstractNumId w:val="22"/>
  </w:num>
  <w:num w:numId="18">
    <w:abstractNumId w:val="5"/>
  </w:num>
  <w:num w:numId="19">
    <w:abstractNumId w:val="1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  <w:num w:numId="23">
    <w:abstractNumId w:val="3"/>
  </w:num>
  <w:num w:numId="24">
    <w:abstractNumId w:val="10"/>
  </w:num>
  <w:num w:numId="25">
    <w:abstractNumId w:val="15"/>
  </w:num>
  <w:num w:numId="26">
    <w:abstractNumId w:val="18"/>
  </w:num>
  <w:num w:numId="27">
    <w:abstractNumId w:val="23"/>
  </w:num>
  <w:num w:numId="28">
    <w:abstractNumId w:val="19"/>
  </w:num>
  <w:num w:numId="29">
    <w:abstractNumId w:val="26"/>
  </w:num>
  <w:num w:numId="30">
    <w:abstractNumId w:val="24"/>
  </w:num>
  <w:num w:numId="31">
    <w:abstractNumId w:val="34"/>
  </w:num>
  <w:num w:numId="32">
    <w:abstractNumId w:val="27"/>
  </w:num>
  <w:num w:numId="33">
    <w:abstractNumId w:val="14"/>
  </w:num>
  <w:num w:numId="34">
    <w:abstractNumId w:val="1"/>
  </w:num>
  <w:num w:numId="35">
    <w:abstractNumId w:val="7"/>
  </w:num>
  <w:num w:numId="36">
    <w:abstractNumId w:val="8"/>
  </w:num>
  <w:num w:numId="3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37C6B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A9B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5FC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449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379E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B7DAB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6DB5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1699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14C5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  <o:rules v:ext="edit">
        <o:r id="V:Rule1" type="callout" idref="#_x0000_s1557"/>
        <o:r id="V:Rule3" type="connector" idref="#_x0000_s1613"/>
      </o:rules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D83B-FA39-40CE-8219-1F7EF28F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2129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2020-05-15T18:22:00Z</cp:lastPrinted>
  <dcterms:created xsi:type="dcterms:W3CDTF">2022-10-06T13:45:00Z</dcterms:created>
  <dcterms:modified xsi:type="dcterms:W3CDTF">2022-10-06T14:14:00Z</dcterms:modified>
</cp:coreProperties>
</file>