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51D" w:rsidRPr="007667A6" w:rsidRDefault="007667A6" w:rsidP="0039651D">
      <w:pPr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7667A6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REINTEGRAÇÃO DE POSSE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:</w:t>
      </w:r>
    </w:p>
    <w:p w:rsidR="007667A6" w:rsidRDefault="007667A6" w:rsidP="0039651D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667A6" w:rsidRPr="007667A6" w:rsidRDefault="007667A6" w:rsidP="007667A6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667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APELAÇÃO CÍVEL - AÇÃO DE RESCISÃO CONTRATUAL C/C REINTEGRAÇÃO DE POSSE - ILEGITIMIDADE </w:t>
      </w:r>
      <w:proofErr w:type="gramStart"/>
      <w:r w:rsidRPr="007667A6">
        <w:rPr>
          <w:rFonts w:ascii="Arial" w:eastAsia="Times New Roman" w:hAnsi="Arial" w:cs="Arial"/>
          <w:b/>
          <w:sz w:val="24"/>
          <w:szCs w:val="24"/>
          <w:lang w:eastAsia="pt-BR"/>
        </w:rPr>
        <w:t>PASSIVA CARACTERIZADA - REQUERIDO QUE NÃO PARTICIPOU</w:t>
      </w:r>
      <w:proofErr w:type="gramEnd"/>
      <w:r w:rsidRPr="007667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DO NEGÓCIO JURÍDICO - TERCEIRO ADQUIRENTE DE BOA-FÉ - INADMISSÍVEL A REINTEGRAÇÃO DE POSSE DO VEÍCULO AO REQUERENTE - RECURSO IMPROVIDO.</w:t>
      </w:r>
    </w:p>
    <w:p w:rsidR="007667A6" w:rsidRPr="007667A6" w:rsidRDefault="007667A6" w:rsidP="007667A6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667A6" w:rsidRDefault="007667A6" w:rsidP="007667A6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667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(TJ-MS - AC: 615 MS 2006.000615-8, Relator: Des. Paschoal </w:t>
      </w:r>
      <w:proofErr w:type="spellStart"/>
      <w:r w:rsidRPr="007667A6">
        <w:rPr>
          <w:rFonts w:ascii="Arial" w:eastAsia="Times New Roman" w:hAnsi="Arial" w:cs="Arial"/>
          <w:b/>
          <w:sz w:val="24"/>
          <w:szCs w:val="24"/>
          <w:lang w:eastAsia="pt-BR"/>
        </w:rPr>
        <w:t>Carmello</w:t>
      </w:r>
      <w:proofErr w:type="spellEnd"/>
      <w:r w:rsidRPr="007667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Leandro, Data de Julgamento: 11/11/2008,</w:t>
      </w:r>
      <w:proofErr w:type="gramStart"/>
      <w:r w:rsidRPr="007667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proofErr w:type="gramEnd"/>
      <w:r w:rsidRPr="007667A6">
        <w:rPr>
          <w:rFonts w:ascii="Arial" w:eastAsia="Times New Roman" w:hAnsi="Arial" w:cs="Arial"/>
          <w:b/>
          <w:sz w:val="24"/>
          <w:szCs w:val="24"/>
          <w:lang w:eastAsia="pt-BR"/>
        </w:rPr>
        <w:t>4ª Turma Cível, Data de Publicação: 03/12/2008)</w:t>
      </w:r>
    </w:p>
    <w:p w:rsidR="007667A6" w:rsidRDefault="007667A6" w:rsidP="007667A6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667A6" w:rsidRDefault="007667A6" w:rsidP="007667A6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667A6" w:rsidRDefault="007667A6" w:rsidP="007667A6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7667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PROCESSUAL CIVIL. REINTEGRAÇÃO DE POSSE DE VEÍCULO AUTOMOTOR. NOTIFICAÇÃO EXTRAJUDICIAL. PROVA DA MORA. AUSÊNCIA. EMENDA À INICIAL NÃO REALIZADA. EXTINÇÃO DO PROCESSO SEM RESOLUÇÃO DE MÉRITO. 1. </w:t>
      </w:r>
      <w:proofErr w:type="spellStart"/>
      <w:r w:rsidRPr="007667A6">
        <w:rPr>
          <w:rFonts w:ascii="Arial" w:eastAsia="Times New Roman" w:hAnsi="Arial" w:cs="Arial"/>
          <w:b/>
          <w:sz w:val="24"/>
          <w:szCs w:val="24"/>
          <w:lang w:eastAsia="pt-BR"/>
        </w:rPr>
        <w:t>Aconcessão</w:t>
      </w:r>
      <w:proofErr w:type="spellEnd"/>
      <w:r w:rsidRPr="007667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da liminar em ação de reintegração de posse decorrente do inadimplemento de contrato de arrendamento mercantil está condicionada, exclusivamente, à mora do devedor (Súmula 369 do colendo Superior Tribunal de Justiça), que, nos termos do art. </w:t>
      </w:r>
      <w:proofErr w:type="gramStart"/>
      <w:r w:rsidRPr="007667A6">
        <w:rPr>
          <w:rFonts w:ascii="Arial" w:eastAsia="Times New Roman" w:hAnsi="Arial" w:cs="Arial"/>
          <w:b/>
          <w:sz w:val="24"/>
          <w:szCs w:val="24"/>
          <w:lang w:eastAsia="pt-BR"/>
        </w:rPr>
        <w:t>2º ,</w:t>
      </w:r>
      <w:proofErr w:type="gramEnd"/>
      <w:r w:rsidRPr="007667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§ 2º , do Decreto-Lei 911 /1969, poderá ser comprovada por notificação extrajudicial, expedida e entregue no endereço constante do contrato, ou pelo protesto do título. 2. Se a notificação não é entregue no endereço do devedor em razão de mudança, poderá o credor providenciar o protesto para constituição da mora. 3. </w:t>
      </w:r>
      <w:proofErr w:type="spellStart"/>
      <w:r w:rsidRPr="007667A6">
        <w:rPr>
          <w:rFonts w:ascii="Arial" w:eastAsia="Times New Roman" w:hAnsi="Arial" w:cs="Arial"/>
          <w:b/>
          <w:sz w:val="24"/>
          <w:szCs w:val="24"/>
          <w:lang w:eastAsia="pt-BR"/>
        </w:rPr>
        <w:t>Anotificação</w:t>
      </w:r>
      <w:proofErr w:type="spellEnd"/>
      <w:r w:rsidRPr="007667A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extrajudicial é requisito essencial para a propositura da ação, uma vez que tem o condão de comprovar a mora. 4. Recurso conhecido e desprovido</w:t>
      </w:r>
    </w:p>
    <w:p w:rsidR="007667A6" w:rsidRDefault="007667A6" w:rsidP="007667A6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667A6" w:rsidRDefault="007667A6" w:rsidP="007667A6">
      <w:pPr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7667A6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BUSCA E APREENSÃO:</w:t>
      </w:r>
    </w:p>
    <w:p w:rsidR="007667A6" w:rsidRPr="007667A6" w:rsidRDefault="007667A6" w:rsidP="007667A6">
      <w:pPr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39651D" w:rsidRPr="00244B04" w:rsidRDefault="0039651D" w:rsidP="0039651D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4B04">
        <w:rPr>
          <w:rFonts w:ascii="Arial" w:eastAsia="Times New Roman" w:hAnsi="Arial" w:cs="Arial"/>
          <w:b/>
          <w:sz w:val="24"/>
          <w:szCs w:val="24"/>
          <w:lang w:eastAsia="pt-BR"/>
        </w:rPr>
        <w:t>AGRAVO INTERNO. DIREITO PRIVADO NÃO ESPECIFICADO. AÇÃO CAUTELAR. BUSCA E APREENSÃO. LIMINAR</w:t>
      </w:r>
      <w:r w:rsidRPr="00244B04">
        <w:rPr>
          <w:rFonts w:ascii="Arial" w:eastAsia="Times New Roman" w:hAnsi="Arial" w:cs="Arial"/>
          <w:sz w:val="24"/>
          <w:szCs w:val="24"/>
          <w:lang w:eastAsia="pt-BR"/>
        </w:rPr>
        <w:t xml:space="preserve">. Inviável conceder a busca e apreensão liminarmente, uma vez que, diante das alegações unilaterais da agravante, faz-se necessário oportunizar ao agravado manifestação nos autos. Ademais, a concessão da liminar esvaziaria o processo cautelar, suprimindo-se </w:t>
      </w:r>
      <w:r w:rsidRPr="00244B04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o devido processo legal, o contraditório e a ampla defesa. AGRAVO INTERNO DESPROVIDO. UNÂNIME. (Agravo Nº 70065090334, Décima Primeira Câmara Cível, Tribunal de Justiça do RS, Relator: Antônio Maria Rodrigues de Freitas </w:t>
      </w:r>
      <w:proofErr w:type="spellStart"/>
      <w:r w:rsidRPr="00244B04">
        <w:rPr>
          <w:rFonts w:ascii="Arial" w:eastAsia="Times New Roman" w:hAnsi="Arial" w:cs="Arial"/>
          <w:sz w:val="24"/>
          <w:szCs w:val="24"/>
          <w:lang w:eastAsia="pt-BR"/>
        </w:rPr>
        <w:t>Iserhard</w:t>
      </w:r>
      <w:proofErr w:type="spellEnd"/>
      <w:r w:rsidRPr="00244B04">
        <w:rPr>
          <w:rFonts w:ascii="Arial" w:eastAsia="Times New Roman" w:hAnsi="Arial" w:cs="Arial"/>
          <w:sz w:val="24"/>
          <w:szCs w:val="24"/>
          <w:lang w:eastAsia="pt-BR"/>
        </w:rPr>
        <w:t>, Julgado em 24/06/2015).</w:t>
      </w:r>
    </w:p>
    <w:p w:rsidR="0039651D" w:rsidRPr="00244B04" w:rsidRDefault="0039651D" w:rsidP="0039651D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651D" w:rsidRPr="00244B04" w:rsidRDefault="0039651D" w:rsidP="0039651D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4B04">
        <w:rPr>
          <w:rFonts w:ascii="Arial" w:eastAsia="Times New Roman" w:hAnsi="Arial" w:cs="Arial"/>
          <w:sz w:val="24"/>
          <w:szCs w:val="24"/>
          <w:lang w:eastAsia="pt-BR"/>
        </w:rPr>
        <w:t xml:space="preserve">(TJ-RS - AGV: 70065090334 RS, Relator: Antônio Maria Rodrigues de Freitas </w:t>
      </w:r>
      <w:proofErr w:type="spellStart"/>
      <w:r w:rsidRPr="00244B04">
        <w:rPr>
          <w:rFonts w:ascii="Arial" w:eastAsia="Times New Roman" w:hAnsi="Arial" w:cs="Arial"/>
          <w:sz w:val="24"/>
          <w:szCs w:val="24"/>
          <w:lang w:eastAsia="pt-BR"/>
        </w:rPr>
        <w:t>Iserhard</w:t>
      </w:r>
      <w:proofErr w:type="spellEnd"/>
      <w:proofErr w:type="gramStart"/>
      <w:r w:rsidRPr="00244B04">
        <w:rPr>
          <w:rFonts w:ascii="Arial" w:eastAsia="Times New Roman" w:hAnsi="Arial" w:cs="Arial"/>
          <w:sz w:val="24"/>
          <w:szCs w:val="24"/>
          <w:lang w:eastAsia="pt-BR"/>
        </w:rPr>
        <w:t>, Data</w:t>
      </w:r>
      <w:proofErr w:type="gramEnd"/>
      <w:r w:rsidRPr="00244B04">
        <w:rPr>
          <w:rFonts w:ascii="Arial" w:eastAsia="Times New Roman" w:hAnsi="Arial" w:cs="Arial"/>
          <w:sz w:val="24"/>
          <w:szCs w:val="24"/>
          <w:lang w:eastAsia="pt-BR"/>
        </w:rPr>
        <w:t xml:space="preserve"> de Julgamento: 24/06/2015,  Décima Primeira Câmara Cível, Data de Publicação: Diário da Justiça do dia 29/06/2015)</w:t>
      </w:r>
    </w:p>
    <w:p w:rsidR="0039651D" w:rsidRPr="00244B04" w:rsidRDefault="0039651D" w:rsidP="0039651D">
      <w:pPr>
        <w:jc w:val="both"/>
        <w:rPr>
          <w:rFonts w:ascii="Arial" w:hAnsi="Arial" w:cs="Arial"/>
          <w:sz w:val="24"/>
          <w:szCs w:val="24"/>
        </w:rPr>
      </w:pPr>
      <w:r w:rsidRPr="00244B04">
        <w:rPr>
          <w:rFonts w:ascii="Arial" w:hAnsi="Arial" w:cs="Arial"/>
          <w:b/>
          <w:sz w:val="24"/>
          <w:szCs w:val="24"/>
        </w:rPr>
        <w:t xml:space="preserve">APELAÇÃO CÍVEL. </w:t>
      </w:r>
      <w:r w:rsidRPr="00244B04">
        <w:rPr>
          <w:rFonts w:ascii="Arial" w:hAnsi="Arial" w:cs="Arial"/>
          <w:b/>
          <w:bCs/>
          <w:sz w:val="24"/>
          <w:szCs w:val="24"/>
        </w:rPr>
        <w:t>CONTRATO</w:t>
      </w:r>
      <w:r w:rsidRPr="00244B04">
        <w:rPr>
          <w:rFonts w:ascii="Arial" w:hAnsi="Arial" w:cs="Arial"/>
          <w:b/>
          <w:sz w:val="24"/>
          <w:szCs w:val="24"/>
        </w:rPr>
        <w:t xml:space="preserve"> DE </w:t>
      </w:r>
      <w:r w:rsidRPr="00244B04">
        <w:rPr>
          <w:rFonts w:ascii="Arial" w:hAnsi="Arial" w:cs="Arial"/>
          <w:b/>
          <w:bCs/>
          <w:sz w:val="24"/>
          <w:szCs w:val="24"/>
        </w:rPr>
        <w:t>COMPRA</w:t>
      </w:r>
      <w:r w:rsidRPr="00244B04">
        <w:rPr>
          <w:rFonts w:ascii="Arial" w:hAnsi="Arial" w:cs="Arial"/>
          <w:b/>
          <w:sz w:val="24"/>
          <w:szCs w:val="24"/>
        </w:rPr>
        <w:t xml:space="preserve"> E </w:t>
      </w:r>
      <w:r w:rsidRPr="00244B04">
        <w:rPr>
          <w:rFonts w:ascii="Arial" w:hAnsi="Arial" w:cs="Arial"/>
          <w:b/>
          <w:bCs/>
          <w:sz w:val="24"/>
          <w:szCs w:val="24"/>
        </w:rPr>
        <w:t>VENDA</w:t>
      </w:r>
      <w:r w:rsidRPr="00244B04">
        <w:rPr>
          <w:rFonts w:ascii="Arial" w:hAnsi="Arial" w:cs="Arial"/>
          <w:b/>
          <w:sz w:val="24"/>
          <w:szCs w:val="24"/>
        </w:rPr>
        <w:t xml:space="preserve"> DE </w:t>
      </w:r>
      <w:r w:rsidRPr="00244B04">
        <w:rPr>
          <w:rFonts w:ascii="Arial" w:hAnsi="Arial" w:cs="Arial"/>
          <w:b/>
          <w:bCs/>
          <w:sz w:val="24"/>
          <w:szCs w:val="24"/>
        </w:rPr>
        <w:t>VEÍCULO</w:t>
      </w:r>
      <w:r w:rsidRPr="00244B04">
        <w:rPr>
          <w:rFonts w:ascii="Arial" w:hAnsi="Arial" w:cs="Arial"/>
          <w:b/>
          <w:sz w:val="24"/>
          <w:szCs w:val="24"/>
        </w:rPr>
        <w:t xml:space="preserve"> </w:t>
      </w:r>
      <w:r w:rsidRPr="00244B04">
        <w:rPr>
          <w:rFonts w:ascii="Arial" w:hAnsi="Arial" w:cs="Arial"/>
          <w:b/>
          <w:bCs/>
          <w:sz w:val="24"/>
          <w:szCs w:val="24"/>
        </w:rPr>
        <w:t>PARTICULAR</w:t>
      </w:r>
      <w:r w:rsidRPr="00244B04">
        <w:rPr>
          <w:rFonts w:ascii="Arial" w:hAnsi="Arial" w:cs="Arial"/>
          <w:b/>
          <w:sz w:val="24"/>
          <w:szCs w:val="24"/>
        </w:rPr>
        <w:t>. TRANSFERÊNCIA DO BEM MÓVEL. AÇÃO DE BUSCA E APREENSÃO INCABÍVEL. INOVAÇÃO RECURSAL ACERCA DA CLAÚSULA DE RESERVA DE DOMÍNIO. INCONCEBÍVEL. SENTENÇA MANTIDA</w:t>
      </w:r>
      <w:r w:rsidRPr="00244B04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244B04">
        <w:rPr>
          <w:rFonts w:ascii="Arial" w:hAnsi="Arial" w:cs="Arial"/>
          <w:sz w:val="24"/>
          <w:szCs w:val="24"/>
        </w:rPr>
        <w:t>1.</w:t>
      </w:r>
      <w:proofErr w:type="gramEnd"/>
      <w:r w:rsidRPr="00244B04">
        <w:rPr>
          <w:rFonts w:ascii="Arial" w:hAnsi="Arial" w:cs="Arial"/>
          <w:sz w:val="24"/>
          <w:szCs w:val="24"/>
        </w:rPr>
        <w:t xml:space="preserve">Trata-se de apelação que visa reformar a sentença a </w:t>
      </w:r>
      <w:proofErr w:type="spellStart"/>
      <w:r w:rsidRPr="00244B04">
        <w:rPr>
          <w:rFonts w:ascii="Arial" w:hAnsi="Arial" w:cs="Arial"/>
          <w:sz w:val="24"/>
          <w:szCs w:val="24"/>
        </w:rPr>
        <w:t>quo</w:t>
      </w:r>
      <w:proofErr w:type="spellEnd"/>
      <w:r w:rsidRPr="00244B04">
        <w:rPr>
          <w:rFonts w:ascii="Arial" w:hAnsi="Arial" w:cs="Arial"/>
          <w:sz w:val="24"/>
          <w:szCs w:val="24"/>
        </w:rPr>
        <w:t xml:space="preserve"> que julgou improcedente a Ação Cautelar de Busca e Apreensão manejada pelo autor, diante do descumprimento do </w:t>
      </w:r>
      <w:r w:rsidRPr="00244B04">
        <w:rPr>
          <w:rFonts w:ascii="Arial" w:hAnsi="Arial" w:cs="Arial"/>
          <w:b/>
          <w:bCs/>
          <w:sz w:val="24"/>
          <w:szCs w:val="24"/>
        </w:rPr>
        <w:t>contrato</w:t>
      </w:r>
      <w:r w:rsidRPr="00244B04">
        <w:rPr>
          <w:rFonts w:ascii="Arial" w:hAnsi="Arial" w:cs="Arial"/>
          <w:sz w:val="24"/>
          <w:szCs w:val="24"/>
        </w:rPr>
        <w:t xml:space="preserve"> de </w:t>
      </w:r>
      <w:r w:rsidRPr="00244B04">
        <w:rPr>
          <w:rFonts w:ascii="Arial" w:hAnsi="Arial" w:cs="Arial"/>
          <w:b/>
          <w:bCs/>
          <w:sz w:val="24"/>
          <w:szCs w:val="24"/>
        </w:rPr>
        <w:t>compra</w:t>
      </w:r>
      <w:r w:rsidRPr="00244B04">
        <w:rPr>
          <w:rFonts w:ascii="Arial" w:hAnsi="Arial" w:cs="Arial"/>
          <w:sz w:val="24"/>
          <w:szCs w:val="24"/>
        </w:rPr>
        <w:t xml:space="preserve"> e </w:t>
      </w:r>
      <w:r w:rsidRPr="00244B04">
        <w:rPr>
          <w:rFonts w:ascii="Arial" w:hAnsi="Arial" w:cs="Arial"/>
          <w:b/>
          <w:bCs/>
          <w:sz w:val="24"/>
          <w:szCs w:val="24"/>
        </w:rPr>
        <w:t>venda</w:t>
      </w:r>
      <w:r w:rsidRPr="00244B04">
        <w:rPr>
          <w:rFonts w:ascii="Arial" w:hAnsi="Arial" w:cs="Arial"/>
          <w:sz w:val="24"/>
          <w:szCs w:val="24"/>
        </w:rPr>
        <w:t xml:space="preserve"> de automóvel com financiamento próprio. </w:t>
      </w:r>
      <w:proofErr w:type="gramStart"/>
      <w:r w:rsidRPr="00244B04">
        <w:rPr>
          <w:rFonts w:ascii="Arial" w:hAnsi="Arial" w:cs="Arial"/>
          <w:sz w:val="24"/>
          <w:szCs w:val="24"/>
        </w:rPr>
        <w:t>2.</w:t>
      </w:r>
      <w:proofErr w:type="gramEnd"/>
      <w:r w:rsidRPr="00244B04">
        <w:rPr>
          <w:rFonts w:ascii="Arial" w:hAnsi="Arial" w:cs="Arial"/>
          <w:b/>
          <w:sz w:val="24"/>
          <w:szCs w:val="24"/>
        </w:rPr>
        <w:t xml:space="preserve">A ação de busca e apreensão interposta possui nítido caráter </w:t>
      </w:r>
      <w:proofErr w:type="spellStart"/>
      <w:r w:rsidRPr="00244B04">
        <w:rPr>
          <w:rFonts w:ascii="Arial" w:hAnsi="Arial" w:cs="Arial"/>
          <w:b/>
          <w:sz w:val="24"/>
          <w:szCs w:val="24"/>
        </w:rPr>
        <w:t>satisfativo</w:t>
      </w:r>
      <w:proofErr w:type="spellEnd"/>
      <w:r w:rsidRPr="00244B04">
        <w:rPr>
          <w:rFonts w:ascii="Arial" w:hAnsi="Arial" w:cs="Arial"/>
          <w:b/>
          <w:sz w:val="24"/>
          <w:szCs w:val="24"/>
        </w:rPr>
        <w:t xml:space="preserve">, posto que o real interesse do autor é reaver o </w:t>
      </w:r>
      <w:r w:rsidRPr="00244B04">
        <w:rPr>
          <w:rFonts w:ascii="Arial" w:hAnsi="Arial" w:cs="Arial"/>
          <w:b/>
          <w:bCs/>
          <w:sz w:val="24"/>
          <w:szCs w:val="24"/>
        </w:rPr>
        <w:t>veículo</w:t>
      </w:r>
      <w:r w:rsidRPr="00244B04">
        <w:rPr>
          <w:rFonts w:ascii="Arial" w:hAnsi="Arial" w:cs="Arial"/>
          <w:b/>
          <w:sz w:val="24"/>
          <w:szCs w:val="24"/>
        </w:rPr>
        <w:t xml:space="preserve">, o que se contrapõe a finalidade das ações de busca e apreensão, que nos termos do art. 839 e seguintes do CPC , versam sobre procedimentos cautelares, com a finalidade de assegurar a eficácia de processo futuro. </w:t>
      </w:r>
      <w:proofErr w:type="gramStart"/>
      <w:r w:rsidRPr="00244B04">
        <w:rPr>
          <w:rFonts w:ascii="Arial" w:hAnsi="Arial" w:cs="Arial"/>
          <w:sz w:val="24"/>
          <w:szCs w:val="24"/>
        </w:rPr>
        <w:t>3.</w:t>
      </w:r>
      <w:proofErr w:type="gramEnd"/>
      <w:r w:rsidRPr="00244B04">
        <w:rPr>
          <w:rFonts w:ascii="Arial" w:hAnsi="Arial" w:cs="Arial"/>
          <w:sz w:val="24"/>
          <w:szCs w:val="24"/>
        </w:rPr>
        <w:t xml:space="preserve">A transferência de propriedade sobre bens móveis se dá por meio da tradição. Neste norte, a documentação do </w:t>
      </w:r>
      <w:r w:rsidRPr="00244B04">
        <w:rPr>
          <w:rFonts w:ascii="Arial" w:hAnsi="Arial" w:cs="Arial"/>
          <w:b/>
          <w:bCs/>
          <w:sz w:val="24"/>
          <w:szCs w:val="24"/>
        </w:rPr>
        <w:t>veículo</w:t>
      </w:r>
      <w:r w:rsidRPr="00244B04">
        <w:rPr>
          <w:rFonts w:ascii="Arial" w:hAnsi="Arial" w:cs="Arial"/>
          <w:sz w:val="24"/>
          <w:szCs w:val="24"/>
        </w:rPr>
        <w:t xml:space="preserve"> existente perante o DETRAN tem validade tão somente para efeitos administrativos, não fazendo prova absoluta da propriedade do </w:t>
      </w:r>
      <w:r w:rsidRPr="00244B04">
        <w:rPr>
          <w:rFonts w:ascii="Arial" w:hAnsi="Arial" w:cs="Arial"/>
          <w:b/>
          <w:bCs/>
          <w:sz w:val="24"/>
          <w:szCs w:val="24"/>
        </w:rPr>
        <w:t>veículo</w:t>
      </w:r>
      <w:r w:rsidRPr="00244B04">
        <w:rPr>
          <w:rFonts w:ascii="Arial" w:hAnsi="Arial" w:cs="Arial"/>
          <w:sz w:val="24"/>
          <w:szCs w:val="24"/>
        </w:rPr>
        <w:t xml:space="preserve"> automotor registrado. </w:t>
      </w:r>
      <w:proofErr w:type="gramStart"/>
      <w:r w:rsidRPr="00244B04">
        <w:rPr>
          <w:rFonts w:ascii="Arial" w:hAnsi="Arial" w:cs="Arial"/>
          <w:sz w:val="24"/>
          <w:szCs w:val="24"/>
        </w:rPr>
        <w:t>4.</w:t>
      </w:r>
      <w:proofErr w:type="gramEnd"/>
      <w:r w:rsidRPr="00244B04">
        <w:rPr>
          <w:rFonts w:ascii="Arial" w:hAnsi="Arial" w:cs="Arial"/>
          <w:sz w:val="24"/>
          <w:szCs w:val="24"/>
        </w:rPr>
        <w:t xml:space="preserve">Incontroverso a relação contratual existente entre as partes, fato reconhecido pelo requerido, inclusive do inadimplemento da parcelas do </w:t>
      </w:r>
      <w:r w:rsidRPr="00244B04">
        <w:rPr>
          <w:rFonts w:ascii="Arial" w:hAnsi="Arial" w:cs="Arial"/>
          <w:b/>
          <w:bCs/>
          <w:sz w:val="24"/>
          <w:szCs w:val="24"/>
        </w:rPr>
        <w:t>veículo</w:t>
      </w:r>
      <w:r w:rsidRPr="00244B04">
        <w:rPr>
          <w:rFonts w:ascii="Arial" w:hAnsi="Arial" w:cs="Arial"/>
          <w:sz w:val="24"/>
          <w:szCs w:val="24"/>
        </w:rPr>
        <w:t xml:space="preserve">. Assim, o apelante deve ser considerado mero detentor de obrigação exigível frente ao requerente ora apelante (proveniente da </w:t>
      </w:r>
      <w:r w:rsidRPr="00244B04">
        <w:rPr>
          <w:rFonts w:ascii="Arial" w:hAnsi="Arial" w:cs="Arial"/>
          <w:b/>
          <w:bCs/>
          <w:sz w:val="24"/>
          <w:szCs w:val="24"/>
        </w:rPr>
        <w:t>compra</w:t>
      </w:r>
      <w:r w:rsidRPr="00244B04">
        <w:rPr>
          <w:rFonts w:ascii="Arial" w:hAnsi="Arial" w:cs="Arial"/>
          <w:sz w:val="24"/>
          <w:szCs w:val="24"/>
        </w:rPr>
        <w:t xml:space="preserve"> </w:t>
      </w:r>
      <w:r w:rsidRPr="00244B04">
        <w:rPr>
          <w:rFonts w:ascii="Arial" w:hAnsi="Arial" w:cs="Arial"/>
          <w:b/>
          <w:bCs/>
          <w:sz w:val="24"/>
          <w:szCs w:val="24"/>
        </w:rPr>
        <w:t>venda</w:t>
      </w:r>
      <w:r w:rsidRPr="00244B04">
        <w:rPr>
          <w:rFonts w:ascii="Arial" w:hAnsi="Arial" w:cs="Arial"/>
          <w:sz w:val="24"/>
          <w:szCs w:val="24"/>
        </w:rPr>
        <w:t xml:space="preserve">). Contudo, o inadimplemento deste não autoriza, desde logo, a busca e apreensão do </w:t>
      </w:r>
      <w:r w:rsidRPr="00244B04">
        <w:rPr>
          <w:rFonts w:ascii="Arial" w:hAnsi="Arial" w:cs="Arial"/>
          <w:b/>
          <w:bCs/>
          <w:sz w:val="24"/>
          <w:szCs w:val="24"/>
        </w:rPr>
        <w:t>veículo</w:t>
      </w:r>
      <w:r w:rsidRPr="00244B04">
        <w:rPr>
          <w:rFonts w:ascii="Arial" w:hAnsi="Arial" w:cs="Arial"/>
          <w:sz w:val="24"/>
          <w:szCs w:val="24"/>
        </w:rPr>
        <w:t>. 5. A alegação do apelante acerca da Reserva de Domínio, como argumento apenas em sede recursal, se revela inconcebível e configura inequívoca inovação recursal. (Art. 515 do CPC</w:t>
      </w:r>
      <w:proofErr w:type="gramStart"/>
      <w:r w:rsidRPr="00244B04">
        <w:rPr>
          <w:rFonts w:ascii="Arial" w:hAnsi="Arial" w:cs="Arial"/>
          <w:sz w:val="24"/>
          <w:szCs w:val="24"/>
        </w:rPr>
        <w:t xml:space="preserve"> )</w:t>
      </w:r>
      <w:proofErr w:type="gramEnd"/>
      <w:r w:rsidRPr="00244B04">
        <w:rPr>
          <w:rFonts w:ascii="Arial" w:hAnsi="Arial" w:cs="Arial"/>
          <w:sz w:val="24"/>
          <w:szCs w:val="24"/>
        </w:rPr>
        <w:t>. 6. Recurso conhecido e não provido. ACÓRDÃO ACORDA A 3ª CÂMARA CÍVEL DO TRIBUNAL DE JUSTIÇA DO CEARÁ, por uma de suas turmas julgadoras, à unanimidade, em conhecer do recurso, mas para negar-lhe provimento, nos termos do voto do relator, parte integrante deste. Fortaleza, 14 de dezembro de 2015..</w:t>
      </w:r>
    </w:p>
    <w:p w:rsidR="0039651D" w:rsidRPr="00244B04" w:rsidRDefault="0039651D" w:rsidP="0039651D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</w:t>
      </w:r>
      <w:proofErr w:type="gramEnd"/>
      <w:r w:rsidR="00E22C59" w:rsidRPr="00244B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fldChar w:fldCharType="begin"/>
      </w:r>
      <w:r w:rsidRPr="00244B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instrText xml:space="preserve"> HYPERLINK "http://tj-ma.jusbrasil.com.br/jurisprudencia/183849309/agravo-de-instrumento-ai-266362014-ma-0004899-0320148100000" </w:instrText>
      </w:r>
      <w:r w:rsidR="00E22C59" w:rsidRPr="00244B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fldChar w:fldCharType="separate"/>
      </w:r>
      <w:r w:rsidRPr="00244B04">
        <w:rPr>
          <w:rFonts w:ascii="Arial" w:eastAsia="Times New Roman" w:hAnsi="Arial" w:cs="Arial"/>
          <w:b/>
          <w:bCs/>
          <w:color w:val="0000FF"/>
          <w:sz w:val="24"/>
          <w:szCs w:val="24"/>
          <w:u w:val="single"/>
          <w:lang w:eastAsia="pt-BR"/>
        </w:rPr>
        <w:t xml:space="preserve">gravo de Instrumento AI 0266362014 MA 0004899-03.2014.8.10.0000 (TJ-MA) </w:t>
      </w:r>
      <w:r w:rsidR="00E22C59" w:rsidRPr="00244B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fldChar w:fldCharType="end"/>
      </w:r>
    </w:p>
    <w:p w:rsidR="0039651D" w:rsidRPr="00244B04" w:rsidRDefault="0039651D" w:rsidP="0039651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4B04">
        <w:rPr>
          <w:rFonts w:ascii="Arial" w:eastAsia="Times New Roman" w:hAnsi="Arial" w:cs="Arial"/>
          <w:sz w:val="24"/>
          <w:szCs w:val="24"/>
          <w:lang w:eastAsia="pt-BR"/>
        </w:rPr>
        <w:t xml:space="preserve">Data de publicação: 26/09/2014 </w:t>
      </w:r>
    </w:p>
    <w:p w:rsidR="0039651D" w:rsidRPr="00244B04" w:rsidRDefault="0039651D" w:rsidP="0039651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244B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Ementa:</w:t>
      </w:r>
      <w:proofErr w:type="gramStart"/>
      <w:r w:rsidRPr="00244B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244B04">
        <w:rPr>
          <w:rFonts w:ascii="Arial" w:eastAsia="Times New Roman" w:hAnsi="Arial" w:cs="Arial"/>
          <w:sz w:val="24"/>
          <w:szCs w:val="24"/>
          <w:lang w:eastAsia="pt-BR"/>
        </w:rPr>
        <w:t> </w:t>
      </w:r>
      <w:proofErr w:type="gramEnd"/>
      <w:r w:rsidRPr="00244B04">
        <w:rPr>
          <w:rFonts w:ascii="Arial" w:eastAsia="Times New Roman" w:hAnsi="Arial" w:cs="Arial"/>
          <w:sz w:val="24"/>
          <w:szCs w:val="24"/>
          <w:lang w:eastAsia="pt-BR"/>
        </w:rPr>
        <w:t xml:space="preserve">Agravo de instrumento. </w:t>
      </w:r>
      <w:r w:rsidRPr="00244B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Contrato</w:t>
      </w:r>
      <w:r w:rsidRPr="00244B04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Pr="00244B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compra</w:t>
      </w:r>
      <w:r w:rsidRPr="00244B04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Pr="00244B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venda</w:t>
      </w:r>
      <w:r w:rsidRPr="00244B04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Pr="00244B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veículo</w:t>
      </w:r>
      <w:r w:rsidRPr="00244B04">
        <w:rPr>
          <w:rFonts w:ascii="Arial" w:eastAsia="Times New Roman" w:hAnsi="Arial" w:cs="Arial"/>
          <w:sz w:val="24"/>
          <w:szCs w:val="24"/>
          <w:lang w:eastAsia="pt-BR"/>
        </w:rPr>
        <w:t xml:space="preserve"> entre </w:t>
      </w:r>
      <w:proofErr w:type="gramStart"/>
      <w:r w:rsidRPr="00244B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particulares</w:t>
      </w:r>
      <w:r w:rsidRPr="00244B04">
        <w:rPr>
          <w:rFonts w:ascii="Arial" w:eastAsia="Times New Roman" w:hAnsi="Arial" w:cs="Arial"/>
          <w:sz w:val="24"/>
          <w:szCs w:val="24"/>
          <w:lang w:eastAsia="pt-BR"/>
        </w:rPr>
        <w:t>.</w:t>
      </w:r>
      <w:proofErr w:type="gramEnd"/>
      <w:r w:rsidRPr="00244B04">
        <w:rPr>
          <w:rFonts w:ascii="Arial" w:eastAsia="Times New Roman" w:hAnsi="Arial" w:cs="Arial"/>
          <w:sz w:val="24"/>
          <w:szCs w:val="24"/>
          <w:lang w:eastAsia="pt-BR"/>
        </w:rPr>
        <w:t xml:space="preserve">Tutela antecipada. Ausência dos requisitos </w:t>
      </w:r>
      <w:proofErr w:type="gramStart"/>
      <w:r w:rsidRPr="00244B04">
        <w:rPr>
          <w:rFonts w:ascii="Arial" w:eastAsia="Times New Roman" w:hAnsi="Arial" w:cs="Arial"/>
          <w:sz w:val="24"/>
          <w:szCs w:val="24"/>
          <w:lang w:eastAsia="pt-BR"/>
        </w:rPr>
        <w:t>legais.</w:t>
      </w:r>
      <w:proofErr w:type="gramEnd"/>
      <w:r w:rsidRPr="00244B04">
        <w:rPr>
          <w:rFonts w:ascii="Arial" w:eastAsia="Times New Roman" w:hAnsi="Arial" w:cs="Arial"/>
          <w:sz w:val="24"/>
          <w:szCs w:val="24"/>
          <w:lang w:eastAsia="pt-BR"/>
        </w:rPr>
        <w:t xml:space="preserve">Indeferimento. Manutenção. 1. Hipótese em que não há lastro probatório da existência e dos termos do negócio que ajustou a </w:t>
      </w:r>
      <w:r w:rsidRPr="00244B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compra</w:t>
      </w:r>
      <w:r w:rsidRPr="00244B04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Pr="00244B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venda</w:t>
      </w:r>
      <w:r w:rsidRPr="00244B04">
        <w:rPr>
          <w:rFonts w:ascii="Arial" w:eastAsia="Times New Roman" w:hAnsi="Arial" w:cs="Arial"/>
          <w:sz w:val="24"/>
          <w:szCs w:val="24"/>
          <w:lang w:eastAsia="pt-BR"/>
        </w:rPr>
        <w:t xml:space="preserve"> do </w:t>
      </w:r>
      <w:r w:rsidRPr="00244B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veículo</w:t>
      </w:r>
      <w:r w:rsidRPr="00244B04">
        <w:rPr>
          <w:rFonts w:ascii="Arial" w:eastAsia="Times New Roman" w:hAnsi="Arial" w:cs="Arial"/>
          <w:sz w:val="24"/>
          <w:szCs w:val="24"/>
          <w:lang w:eastAsia="pt-BR"/>
        </w:rPr>
        <w:t xml:space="preserve"> objeto do litígio, sendo, por isso, temerária a concessão de liminar de busca e apreensão fundada em meras alegações da parte que diz tê-lo adquirido e adimplido suas obrigações contratuais. 2. A ausência dos requisitos previstos no art.273 do CPC, a saber, prova inequívoca do direito alegado e verossimilhança das alegações, enseja o indeferimento da tutela antecipada. 3. Agravo de instrumento conhecido e </w:t>
      </w:r>
      <w:proofErr w:type="spellStart"/>
      <w:r w:rsidRPr="00244B04">
        <w:rPr>
          <w:rFonts w:ascii="Arial" w:eastAsia="Times New Roman" w:hAnsi="Arial" w:cs="Arial"/>
          <w:sz w:val="24"/>
          <w:szCs w:val="24"/>
          <w:lang w:eastAsia="pt-BR"/>
        </w:rPr>
        <w:t>improvido</w:t>
      </w:r>
      <w:proofErr w:type="spellEnd"/>
      <w:r w:rsidRPr="00244B04">
        <w:rPr>
          <w:rFonts w:ascii="Arial" w:eastAsia="Times New Roman" w:hAnsi="Arial" w:cs="Arial"/>
          <w:sz w:val="24"/>
          <w:szCs w:val="24"/>
          <w:lang w:eastAsia="pt-BR"/>
        </w:rPr>
        <w:t xml:space="preserve">. 4. Unanimidade. </w:t>
      </w:r>
    </w:p>
    <w:p w:rsidR="005277C0" w:rsidRDefault="005277C0"/>
    <w:p w:rsidR="007D4E0C" w:rsidRDefault="007D4E0C"/>
    <w:p w:rsidR="007D4E0C" w:rsidRPr="007D4E0C" w:rsidRDefault="007D4E0C" w:rsidP="007D4E0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D4E0C">
        <w:rPr>
          <w:rFonts w:ascii="Arial" w:hAnsi="Arial" w:cs="Arial"/>
          <w:b/>
          <w:bCs/>
          <w:sz w:val="24"/>
          <w:szCs w:val="24"/>
        </w:rPr>
        <w:t xml:space="preserve">APELAÇÃO CÍVEL. DIREITO PRIVADO NÃO ESPECIFICADO. AÇÃO DE COBRANÇA. CHEQUES. ALEGADO DÉBITO DECORRENTE DE COMPRA E VENDA DE MOTOCICLETA. PROVA DOS </w:t>
      </w:r>
      <w:proofErr w:type="gramStart"/>
      <w:r w:rsidRPr="007D4E0C">
        <w:rPr>
          <w:rFonts w:ascii="Arial" w:hAnsi="Arial" w:cs="Arial"/>
          <w:b/>
          <w:bCs/>
          <w:sz w:val="24"/>
          <w:szCs w:val="24"/>
        </w:rPr>
        <w:t>AUTOS FORTE</w:t>
      </w:r>
      <w:proofErr w:type="gramEnd"/>
      <w:r w:rsidRPr="007D4E0C">
        <w:rPr>
          <w:rFonts w:ascii="Arial" w:hAnsi="Arial" w:cs="Arial"/>
          <w:b/>
          <w:bCs/>
          <w:sz w:val="24"/>
          <w:szCs w:val="24"/>
        </w:rPr>
        <w:t xml:space="preserve"> A INDICAR QUE O RÉU NÃO É DEVEDOR DA AUTORA, TENDO ADQUIRIDO O VEÍCULO DE TERCEIRA PESSOA, A QUEM, SIM, É ATRIBUÍDA A EFETIVA NEGOCIAÇÃO HAVIDA COM A DEMANDANTE</w:t>
      </w:r>
    </w:p>
    <w:p w:rsidR="007D4E0C" w:rsidRPr="007D4E0C" w:rsidRDefault="007D4E0C" w:rsidP="007D4E0C">
      <w:pPr>
        <w:pStyle w:val="citao"/>
        <w:jc w:val="both"/>
        <w:rPr>
          <w:rFonts w:ascii="Arial" w:hAnsi="Arial" w:cs="Arial"/>
        </w:rPr>
      </w:pPr>
      <w:r w:rsidRPr="007D4E0C">
        <w:rPr>
          <w:rFonts w:ascii="Arial" w:hAnsi="Arial" w:cs="Arial"/>
          <w:i/>
          <w:iCs/>
        </w:rPr>
        <w:t xml:space="preserve">Na realidade, LUCIANA entregou o veículo a uma revenda, para ser comercializado. Um terceiro, conhecido deste comerciante, adquiriu a motocicleta e a repassou para o ora réu, como forma de pagamento de uma dívida. </w:t>
      </w:r>
    </w:p>
    <w:p w:rsidR="007D4E0C" w:rsidRPr="007D4E0C" w:rsidRDefault="007D4E0C" w:rsidP="007D4E0C">
      <w:pPr>
        <w:pStyle w:val="citao"/>
        <w:jc w:val="both"/>
        <w:rPr>
          <w:rFonts w:ascii="Arial" w:hAnsi="Arial" w:cs="Arial"/>
        </w:rPr>
      </w:pPr>
      <w:r w:rsidRPr="007D4E0C">
        <w:rPr>
          <w:rFonts w:ascii="Arial" w:hAnsi="Arial" w:cs="Arial"/>
          <w:i/>
          <w:iCs/>
        </w:rPr>
        <w:t xml:space="preserve">Acontece que este terceiro, conhecido do comerciante, não quitou os cheques dados em pagamento. Neste quadro, a autora, ao invés de se voltar conta o comerciante, ou ainda contra o conhecido deste comerciante, resolver voltar-se contra o ora réu. E isto é sintomático: o terceiro, amigo do comerciante, é contumaz devedor, quiçá até insolvente; já o comerciante, é certo que é amigo ou conhecido da autora, por isso não quis ela demandá-lo! </w:t>
      </w:r>
    </w:p>
    <w:p w:rsidR="007D4E0C" w:rsidRDefault="007D4E0C"/>
    <w:sectPr w:rsidR="007D4E0C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9651D"/>
    <w:rsid w:val="001F5267"/>
    <w:rsid w:val="0039651D"/>
    <w:rsid w:val="004E2E8C"/>
    <w:rsid w:val="005277C0"/>
    <w:rsid w:val="00571FD1"/>
    <w:rsid w:val="007667A6"/>
    <w:rsid w:val="007D4E0C"/>
    <w:rsid w:val="00926719"/>
    <w:rsid w:val="00A02D16"/>
    <w:rsid w:val="00B91B17"/>
    <w:rsid w:val="00D4327F"/>
    <w:rsid w:val="00E22C59"/>
    <w:rsid w:val="00E7535E"/>
    <w:rsid w:val="00FB5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51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o">
    <w:name w:val="citação"/>
    <w:basedOn w:val="Normal"/>
    <w:rsid w:val="007D4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1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952</Words>
  <Characters>5143</Characters>
  <Application>Microsoft Office Word</Application>
  <DocSecurity>0</DocSecurity>
  <Lines>42</Lines>
  <Paragraphs>12</Paragraphs>
  <ScaleCrop>false</ScaleCrop>
  <Company/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3</cp:revision>
  <dcterms:created xsi:type="dcterms:W3CDTF">2016-07-11T18:31:00Z</dcterms:created>
  <dcterms:modified xsi:type="dcterms:W3CDTF">2016-07-11T19:27:00Z</dcterms:modified>
</cp:coreProperties>
</file>