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AD333" w14:textId="77777777" w:rsidR="00D34891" w:rsidRPr="00D34891" w:rsidRDefault="00D34891" w:rsidP="00D34891">
      <w:pPr>
        <w:shd w:val="clear" w:color="auto" w:fill="FFFFFF"/>
        <w:spacing w:before="72" w:after="90" w:line="240" w:lineRule="auto"/>
        <w:jc w:val="both"/>
        <w:outlineLvl w:val="0"/>
        <w:rPr>
          <w:rFonts w:ascii="inherit" w:eastAsia="Times New Roman" w:hAnsi="inherit" w:cs="Helvetica"/>
          <w:color w:val="333333"/>
          <w:kern w:val="36"/>
          <w:sz w:val="42"/>
          <w:szCs w:val="42"/>
          <w:lang w:eastAsia="pt-BR"/>
        </w:rPr>
      </w:pPr>
      <w:r w:rsidRPr="00D34891">
        <w:rPr>
          <w:rFonts w:ascii="inherit" w:eastAsia="Times New Roman" w:hAnsi="inherit" w:cs="Helvetica"/>
          <w:color w:val="333333"/>
          <w:kern w:val="36"/>
          <w:sz w:val="42"/>
          <w:szCs w:val="42"/>
          <w:lang w:eastAsia="pt-BR"/>
        </w:rPr>
        <w:t>Aposentadoria especial do servidor público exposto a agentes nocivos</w:t>
      </w:r>
    </w:p>
    <w:p w14:paraId="37550D77" w14:textId="77777777" w:rsidR="00D34891" w:rsidRPr="00D34891" w:rsidRDefault="00D34891" w:rsidP="00D34891">
      <w:pPr>
        <w:shd w:val="clear" w:color="auto" w:fill="FFFFFF"/>
        <w:spacing w:after="240" w:line="240" w:lineRule="auto"/>
        <w:jc w:val="both"/>
        <w:outlineLvl w:val="1"/>
        <w:rPr>
          <w:rFonts w:ascii="inherit" w:eastAsia="Times New Roman" w:hAnsi="inherit" w:cs="Helvetica"/>
          <w:color w:val="6F6F6F"/>
          <w:sz w:val="36"/>
          <w:szCs w:val="36"/>
          <w:lang w:eastAsia="pt-BR"/>
        </w:rPr>
      </w:pPr>
      <w:r w:rsidRPr="00D34891">
        <w:rPr>
          <w:rFonts w:ascii="inherit" w:eastAsia="Times New Roman" w:hAnsi="inherit" w:cs="Helvetica"/>
          <w:color w:val="6F6F6F"/>
          <w:sz w:val="36"/>
          <w:szCs w:val="36"/>
          <w:lang w:eastAsia="pt-BR"/>
        </w:rPr>
        <w:t>insalubridade e periculosidade</w:t>
      </w:r>
    </w:p>
    <w:p w14:paraId="54F26213" w14:textId="77777777" w:rsidR="00D34891" w:rsidRPr="00D34891" w:rsidRDefault="00290C1E" w:rsidP="00D34891">
      <w:pPr>
        <w:shd w:val="clear" w:color="auto" w:fill="FFFFFF"/>
        <w:spacing w:before="240" w:after="90" w:line="240" w:lineRule="auto"/>
        <w:jc w:val="both"/>
        <w:rPr>
          <w:rFonts w:ascii="Helvetica" w:eastAsia="Times New Roman" w:hAnsi="Helvetica" w:cs="Helvetica"/>
          <w:color w:val="787878"/>
          <w:spacing w:val="15"/>
          <w:sz w:val="26"/>
          <w:szCs w:val="26"/>
          <w:lang w:eastAsia="pt-BR"/>
        </w:rPr>
      </w:pPr>
      <w:hyperlink r:id="rId5" w:tooltip="Acesse o perfil de Marcelo Roque Anderson Maciel Avila" w:history="1">
        <w:r w:rsidR="00D34891" w:rsidRPr="00D34891">
          <w:rPr>
            <w:rFonts w:ascii="Helvetica" w:eastAsia="Times New Roman" w:hAnsi="Helvetica" w:cs="Helvetica"/>
            <w:noProof/>
            <w:color w:val="0746A8"/>
            <w:spacing w:val="15"/>
            <w:sz w:val="26"/>
            <w:szCs w:val="26"/>
            <w:lang w:eastAsia="pt-BR"/>
          </w:rPr>
          <mc:AlternateContent>
            <mc:Choice Requires="wps">
              <w:drawing>
                <wp:inline distT="0" distB="0" distL="0" distR="0" wp14:anchorId="7C54BD10" wp14:editId="59E6130F">
                  <wp:extent cx="304800" cy="304800"/>
                  <wp:effectExtent l="0" t="0" r="0" b="0"/>
                  <wp:docPr id="1" name="Retângulo 1" descr="Marcelo Roque Anderson Maciel Avila">
                    <a:hlinkClick xmlns:a="http://schemas.openxmlformats.org/drawingml/2006/main" r:id="rId5" tooltip="&quot;Acesse o perfil de Marcelo Roque Anderson Maciel Avil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8B389D" id="Retângulo 1" o:spid="_x0000_s1026" alt="Marcelo Roque Anderson Maciel Avila" href="https://marceloavila.jus.com.br/publicacoes" title="&quot;Acesse o perfil de Marcelo Roque Anderson Maciel Avil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" o:button="t" filled="f" stroked="f">
                  <v:fill o:detectmouseclick="t"/>
                  <o:lock v:ext="edit" aspectratio="t"/>
                  <w10:anchorlock/>
                </v:rect>
              </w:pict>
            </mc:Fallback>
          </mc:AlternateContent>
        </w:r>
        <w:r w:rsidR="00D34891" w:rsidRPr="00D34891">
          <w:rPr>
            <w:rFonts w:ascii="Helvetica" w:eastAsia="Times New Roman" w:hAnsi="Helvetica" w:cs="Helvetica"/>
            <w:color w:val="0746A8"/>
            <w:spacing w:val="15"/>
            <w:sz w:val="26"/>
            <w:szCs w:val="26"/>
            <w:u w:val="single"/>
            <w:lang w:eastAsia="pt-BR"/>
          </w:rPr>
          <w:t>Marcelo Roque Anderson Maciel Avila</w:t>
        </w:r>
      </w:hyperlink>
    </w:p>
    <w:p w14:paraId="71A9568E" w14:textId="77777777" w:rsidR="00D34891" w:rsidRPr="00D34891" w:rsidRDefault="00D34891" w:rsidP="00D34891">
      <w:pPr>
        <w:shd w:val="clear" w:color="auto" w:fill="FFFFFF"/>
        <w:spacing w:before="75" w:after="0" w:line="360" w:lineRule="atLeast"/>
        <w:jc w:val="both"/>
        <w:rPr>
          <w:rFonts w:ascii="Helvetica" w:eastAsia="Times New Roman" w:hAnsi="Helvetica" w:cs="Helvetica"/>
          <w:color w:val="8B8B8B"/>
          <w:sz w:val="22"/>
          <w:lang w:eastAsia="pt-BR"/>
        </w:rPr>
      </w:pPr>
      <w:r w:rsidRPr="00D34891">
        <w:rPr>
          <w:rFonts w:ascii="Helvetica" w:eastAsia="Times New Roman" w:hAnsi="Helvetica" w:cs="Helvetica"/>
          <w:color w:val="8B8B8B"/>
          <w:sz w:val="22"/>
          <w:lang w:eastAsia="pt-BR"/>
        </w:rPr>
        <w:t>Publicado em 04/2012. Elaborado em 03/2012.</w:t>
      </w:r>
    </w:p>
    <w:p w14:paraId="086A75C2" w14:textId="77777777" w:rsidR="00D34891" w:rsidRPr="00D34891" w:rsidRDefault="00D34891" w:rsidP="00D34891">
      <w:pPr>
        <w:shd w:val="clear" w:color="auto" w:fill="FFFFFF"/>
        <w:spacing w:after="0" w:line="240" w:lineRule="auto"/>
        <w:jc w:val="both"/>
        <w:textAlignment w:val="center"/>
        <w:rPr>
          <w:rFonts w:ascii="Helvetica" w:eastAsia="Times New Roman" w:hAnsi="Helvetica" w:cs="Helvetica"/>
          <w:color w:val="333333"/>
          <w:sz w:val="18"/>
          <w:szCs w:val="18"/>
          <w:lang w:eastAsia="pt-BR"/>
        </w:rPr>
      </w:pPr>
      <w:r w:rsidRPr="00D34891">
        <w:rPr>
          <w:rFonts w:ascii="Helvetica" w:eastAsia="Times New Roman" w:hAnsi="Helvetica" w:cs="Helvetica"/>
          <w:color w:val="333333"/>
          <w:sz w:val="18"/>
          <w:szCs w:val="18"/>
          <w:lang w:eastAsia="pt-BR"/>
        </w:rPr>
        <w:t> 19 Curtidas</w:t>
      </w:r>
    </w:p>
    <w:p w14:paraId="773443CD" w14:textId="77777777" w:rsidR="00D34891" w:rsidRPr="00D34891" w:rsidRDefault="00D34891" w:rsidP="00D34891">
      <w:pPr>
        <w:shd w:val="clear" w:color="auto" w:fill="FFFFFF"/>
        <w:spacing w:after="0" w:line="240" w:lineRule="auto"/>
        <w:jc w:val="both"/>
        <w:rPr>
          <w:rFonts w:ascii="Helvetica" w:eastAsia="Times New Roman" w:hAnsi="Helvetica" w:cs="Helvetica"/>
          <w:color w:val="333333"/>
          <w:szCs w:val="24"/>
          <w:lang w:eastAsia="pt-BR"/>
        </w:rPr>
      </w:pPr>
      <w:r w:rsidRPr="00D34891">
        <w:rPr>
          <w:rFonts w:ascii="Helvetica" w:eastAsia="Times New Roman" w:hAnsi="Helvetica" w:cs="Helvetica"/>
          <w:color w:val="333333"/>
          <w:szCs w:val="24"/>
          <w:lang w:eastAsia="pt-BR"/>
        </w:rPr>
        <w:t> </w:t>
      </w:r>
    </w:p>
    <w:p w14:paraId="2B1A15BF" w14:textId="77777777" w:rsidR="00D34891" w:rsidRPr="00D34891" w:rsidRDefault="00D34891" w:rsidP="00D34891">
      <w:pPr>
        <w:shd w:val="clear" w:color="auto" w:fill="FFFFFF"/>
        <w:spacing w:after="0" w:line="240" w:lineRule="auto"/>
        <w:jc w:val="both"/>
        <w:rPr>
          <w:rFonts w:ascii="Helvetica" w:eastAsia="Times New Roman" w:hAnsi="Helvetica" w:cs="Helvetica"/>
          <w:color w:val="333333"/>
          <w:szCs w:val="24"/>
          <w:lang w:eastAsia="pt-BR"/>
        </w:rPr>
      </w:pPr>
      <w:r w:rsidRPr="00D34891">
        <w:rPr>
          <w:rFonts w:ascii="Helvetica" w:eastAsia="Times New Roman" w:hAnsi="Helvetica" w:cs="Helvetica"/>
          <w:color w:val="333333"/>
          <w:szCs w:val="24"/>
          <w:lang w:eastAsia="pt-BR"/>
        </w:rPr>
        <w:t> </w:t>
      </w:r>
    </w:p>
    <w:p w14:paraId="22C1070C" w14:textId="77777777" w:rsidR="00D34891" w:rsidRPr="00D34891" w:rsidRDefault="00290C1E" w:rsidP="00D34891">
      <w:pPr>
        <w:numPr>
          <w:ilvl w:val="0"/>
          <w:numId w:val="1"/>
        </w:numPr>
        <w:shd w:val="clear" w:color="auto" w:fill="FFFFFF"/>
        <w:spacing w:before="100" w:beforeAutospacing="1" w:after="100" w:afterAutospacing="1" w:line="240" w:lineRule="auto"/>
        <w:ind w:left="0"/>
        <w:jc w:val="both"/>
        <w:rPr>
          <w:rFonts w:ascii="Helvetica" w:eastAsia="Times New Roman" w:hAnsi="Helvetica" w:cs="Helvetica"/>
          <w:caps/>
          <w:color w:val="333333"/>
          <w:sz w:val="20"/>
          <w:szCs w:val="20"/>
          <w:lang w:eastAsia="pt-BR"/>
        </w:rPr>
      </w:pPr>
      <w:hyperlink r:id="rId6" w:history="1">
        <w:r w:rsidR="00D34891" w:rsidRPr="00D34891">
          <w:rPr>
            <w:rFonts w:ascii="Helvetica" w:eastAsia="Times New Roman" w:hAnsi="Helvetica" w:cs="Helvetica"/>
            <w:caps/>
            <w:color w:val="308C4C"/>
            <w:sz w:val="20"/>
            <w:szCs w:val="20"/>
            <w:u w:val="single"/>
            <w:lang w:eastAsia="pt-BR"/>
          </w:rPr>
          <w:t>DIREITO ADMINISTRATIVO</w:t>
        </w:r>
      </w:hyperlink>
    </w:p>
    <w:p w14:paraId="623815D9" w14:textId="77777777" w:rsidR="00D34891" w:rsidRPr="00D34891" w:rsidRDefault="00290C1E" w:rsidP="00D34891">
      <w:pPr>
        <w:numPr>
          <w:ilvl w:val="0"/>
          <w:numId w:val="1"/>
        </w:numPr>
        <w:shd w:val="clear" w:color="auto" w:fill="FFFFFF"/>
        <w:spacing w:before="100" w:beforeAutospacing="1" w:after="100" w:afterAutospacing="1" w:line="240" w:lineRule="auto"/>
        <w:ind w:left="180"/>
        <w:jc w:val="both"/>
        <w:rPr>
          <w:rFonts w:ascii="Helvetica" w:eastAsia="Times New Roman" w:hAnsi="Helvetica" w:cs="Helvetica"/>
          <w:caps/>
          <w:color w:val="333333"/>
          <w:sz w:val="20"/>
          <w:szCs w:val="20"/>
          <w:lang w:eastAsia="pt-BR"/>
        </w:rPr>
      </w:pPr>
      <w:hyperlink r:id="rId7" w:history="1">
        <w:r w:rsidR="00D34891" w:rsidRPr="00D34891">
          <w:rPr>
            <w:rFonts w:ascii="Helvetica" w:eastAsia="Times New Roman" w:hAnsi="Helvetica" w:cs="Helvetica"/>
            <w:caps/>
            <w:color w:val="308C4C"/>
            <w:sz w:val="20"/>
            <w:szCs w:val="20"/>
            <w:u w:val="single"/>
            <w:lang w:eastAsia="pt-BR"/>
          </w:rPr>
          <w:t>DIREITO DO TRABALHO</w:t>
        </w:r>
      </w:hyperlink>
    </w:p>
    <w:p w14:paraId="1CAB1268" w14:textId="77777777" w:rsidR="00D34891" w:rsidRPr="00D34891" w:rsidRDefault="00290C1E" w:rsidP="00D34891">
      <w:pPr>
        <w:numPr>
          <w:ilvl w:val="0"/>
          <w:numId w:val="1"/>
        </w:numPr>
        <w:shd w:val="clear" w:color="auto" w:fill="FFFFFF"/>
        <w:spacing w:before="100" w:beforeAutospacing="1" w:after="100" w:afterAutospacing="1" w:line="240" w:lineRule="auto"/>
        <w:ind w:left="180"/>
        <w:jc w:val="both"/>
        <w:rPr>
          <w:rFonts w:ascii="Helvetica" w:eastAsia="Times New Roman" w:hAnsi="Helvetica" w:cs="Helvetica"/>
          <w:caps/>
          <w:color w:val="333333"/>
          <w:sz w:val="20"/>
          <w:szCs w:val="20"/>
          <w:lang w:eastAsia="pt-BR"/>
        </w:rPr>
      </w:pPr>
      <w:hyperlink r:id="rId8" w:history="1">
        <w:r w:rsidR="00D34891" w:rsidRPr="00D34891">
          <w:rPr>
            <w:rFonts w:ascii="Helvetica" w:eastAsia="Times New Roman" w:hAnsi="Helvetica" w:cs="Helvetica"/>
            <w:caps/>
            <w:color w:val="308C4C"/>
            <w:sz w:val="20"/>
            <w:szCs w:val="20"/>
            <w:u w:val="single"/>
            <w:lang w:eastAsia="pt-BR"/>
          </w:rPr>
          <w:t>DIREITO PREVIDENCIÁRIO</w:t>
        </w:r>
      </w:hyperlink>
    </w:p>
    <w:p w14:paraId="69EDDAD3" w14:textId="77777777" w:rsidR="00D34891" w:rsidRPr="00D34891" w:rsidRDefault="00290C1E" w:rsidP="00D34891">
      <w:pPr>
        <w:numPr>
          <w:ilvl w:val="0"/>
          <w:numId w:val="1"/>
        </w:numPr>
        <w:shd w:val="clear" w:color="auto" w:fill="FFFFFF"/>
        <w:spacing w:before="100" w:beforeAutospacing="1" w:after="100" w:afterAutospacing="1" w:line="240" w:lineRule="auto"/>
        <w:ind w:left="180"/>
        <w:jc w:val="both"/>
        <w:rPr>
          <w:rFonts w:ascii="Helvetica" w:eastAsia="Times New Roman" w:hAnsi="Helvetica" w:cs="Helvetica"/>
          <w:caps/>
          <w:color w:val="333333"/>
          <w:sz w:val="20"/>
          <w:szCs w:val="20"/>
          <w:lang w:eastAsia="pt-BR"/>
        </w:rPr>
      </w:pPr>
      <w:hyperlink r:id="rId9" w:history="1">
        <w:r w:rsidR="00D34891" w:rsidRPr="00D34891">
          <w:rPr>
            <w:rFonts w:ascii="Helvetica" w:eastAsia="Times New Roman" w:hAnsi="Helvetica" w:cs="Helvetica"/>
            <w:caps/>
            <w:color w:val="308C4C"/>
            <w:sz w:val="20"/>
            <w:szCs w:val="20"/>
            <w:u w:val="single"/>
            <w:lang w:eastAsia="pt-BR"/>
          </w:rPr>
          <w:t>BIODIREITO</w:t>
        </w:r>
      </w:hyperlink>
    </w:p>
    <w:p w14:paraId="64F0AF96" w14:textId="77777777" w:rsidR="00D34891" w:rsidRPr="00D34891" w:rsidRDefault="00D34891" w:rsidP="00D34891">
      <w:pPr>
        <w:shd w:val="clear" w:color="auto" w:fill="F8F8F8"/>
        <w:spacing w:line="240" w:lineRule="auto"/>
        <w:jc w:val="both"/>
        <w:rPr>
          <w:rFonts w:ascii="Helvetica" w:eastAsia="Times New Roman" w:hAnsi="Helvetica" w:cs="Helvetica"/>
          <w:color w:val="888888"/>
          <w:szCs w:val="24"/>
          <w:lang w:eastAsia="pt-BR"/>
        </w:rPr>
      </w:pPr>
      <w:r w:rsidRPr="00D34891">
        <w:rPr>
          <w:rFonts w:ascii="Helvetica" w:eastAsia="Times New Roman" w:hAnsi="Helvetica" w:cs="Helvetica"/>
          <w:color w:val="888888"/>
          <w:szCs w:val="24"/>
          <w:lang w:eastAsia="pt-BR"/>
        </w:rPr>
        <w:t>Para a aposentadoria especial do servidor exposto a insalubridade ou periculosidade, dispensa-se laudo técnico. É suficiente, como prova, a percepção do respectivo adicional.</w:t>
      </w:r>
    </w:p>
    <w:p w14:paraId="008CECA8" w14:textId="77777777" w:rsidR="00D34891" w:rsidRPr="00D34891" w:rsidRDefault="00D34891" w:rsidP="00D34891">
      <w:pPr>
        <w:shd w:val="clear" w:color="auto" w:fill="FFFFFF"/>
        <w:spacing w:after="288" w:line="240" w:lineRule="auto"/>
        <w:ind w:firstLine="840"/>
        <w:jc w:val="both"/>
        <w:rPr>
          <w:rFonts w:ascii="Helvetica" w:eastAsia="Times New Roman" w:hAnsi="Helvetica" w:cs="Helvetica"/>
          <w:color w:val="333333"/>
          <w:szCs w:val="24"/>
          <w:lang w:eastAsia="pt-BR"/>
        </w:rPr>
      </w:pPr>
      <w:r w:rsidRPr="00D34891">
        <w:rPr>
          <w:rFonts w:ascii="Helvetica" w:eastAsia="Times New Roman" w:hAnsi="Helvetica" w:cs="Helvetica"/>
          <w:color w:val="333333"/>
          <w:szCs w:val="24"/>
          <w:lang w:eastAsia="pt-BR"/>
        </w:rPr>
        <w:t>Pretende este estudo demonstrar de forma cabal a plena plausibilidade jurídica da </w:t>
      </w:r>
      <w:hyperlink r:id="rId10" w:history="1">
        <w:r w:rsidRPr="00D34891">
          <w:rPr>
            <w:rFonts w:ascii="Helvetica" w:eastAsia="Times New Roman" w:hAnsi="Helvetica" w:cs="Helvetica"/>
            <w:color w:val="0C6BD1"/>
            <w:szCs w:val="24"/>
            <w:u w:val="single"/>
            <w:lang w:eastAsia="pt-BR"/>
          </w:rPr>
          <w:t>aposentadoria</w:t>
        </w:r>
      </w:hyperlink>
      <w:r w:rsidRPr="00D34891">
        <w:rPr>
          <w:rFonts w:ascii="Helvetica" w:eastAsia="Times New Roman" w:hAnsi="Helvetica" w:cs="Helvetica"/>
          <w:color w:val="333333"/>
          <w:szCs w:val="24"/>
          <w:lang w:eastAsia="pt-BR"/>
        </w:rPr>
        <w:t> especial aos 25 (vinte e cinco) anos de serviço/contribuição do </w:t>
      </w:r>
      <w:hyperlink r:id="rId11" w:history="1">
        <w:r w:rsidRPr="00D34891">
          <w:rPr>
            <w:rFonts w:ascii="Helvetica" w:eastAsia="Times New Roman" w:hAnsi="Helvetica" w:cs="Helvetica"/>
            <w:color w:val="0C6BD1"/>
            <w:szCs w:val="24"/>
            <w:u w:val="single"/>
            <w:lang w:eastAsia="pt-BR"/>
          </w:rPr>
          <w:t>servidor público</w:t>
        </w:r>
      </w:hyperlink>
      <w:r w:rsidRPr="00D34891">
        <w:rPr>
          <w:rFonts w:ascii="Helvetica" w:eastAsia="Times New Roman" w:hAnsi="Helvetica" w:cs="Helvetica"/>
          <w:color w:val="333333"/>
          <w:szCs w:val="24"/>
          <w:lang w:eastAsia="pt-BR"/>
        </w:rPr>
        <w:t> que tenha exercido suas atividades sob exposição de agentes nocivos á saúde, caracterizando-se a insalubridade ou a periculosidade no exercício de suas funções.</w:t>
      </w:r>
    </w:p>
    <w:p w14:paraId="395F905F" w14:textId="77777777" w:rsidR="00D34891" w:rsidRPr="00D34891" w:rsidRDefault="00D34891" w:rsidP="00D34891">
      <w:pPr>
        <w:shd w:val="clear" w:color="auto" w:fill="FFFFFF"/>
        <w:spacing w:after="288" w:line="240" w:lineRule="auto"/>
        <w:ind w:firstLine="840"/>
        <w:jc w:val="both"/>
        <w:rPr>
          <w:rFonts w:ascii="Helvetica" w:eastAsia="Times New Roman" w:hAnsi="Helvetica" w:cs="Helvetica"/>
          <w:color w:val="333333"/>
          <w:szCs w:val="24"/>
          <w:lang w:eastAsia="pt-BR"/>
        </w:rPr>
      </w:pPr>
      <w:r w:rsidRPr="00D34891">
        <w:rPr>
          <w:rFonts w:ascii="Helvetica" w:eastAsia="Times New Roman" w:hAnsi="Helvetica" w:cs="Helvetica"/>
          <w:color w:val="333333"/>
          <w:szCs w:val="24"/>
          <w:lang w:eastAsia="pt-BR"/>
        </w:rPr>
        <w:t>O tema era ainda controvertido, pela inexistência de Lei que regulamentasse a matéria desde a promulgação da Constituição de 1988, surgindo, pois, uma lacuna legislativa, como adiante veremos.</w:t>
      </w:r>
    </w:p>
    <w:p w14:paraId="22324DDA" w14:textId="77777777" w:rsidR="00D34891" w:rsidRPr="00D34891" w:rsidRDefault="00D34891" w:rsidP="00D34891">
      <w:pPr>
        <w:shd w:val="clear" w:color="auto" w:fill="FFFFFF"/>
        <w:spacing w:after="288" w:line="240" w:lineRule="auto"/>
        <w:ind w:firstLine="840"/>
        <w:jc w:val="both"/>
        <w:rPr>
          <w:rFonts w:ascii="Helvetica" w:eastAsia="Times New Roman" w:hAnsi="Helvetica" w:cs="Helvetica"/>
          <w:color w:val="333333"/>
          <w:szCs w:val="24"/>
          <w:lang w:eastAsia="pt-BR"/>
        </w:rPr>
      </w:pPr>
      <w:r w:rsidRPr="00D34891">
        <w:rPr>
          <w:rFonts w:ascii="Helvetica" w:eastAsia="Times New Roman" w:hAnsi="Helvetica" w:cs="Helvetica"/>
          <w:color w:val="333333"/>
          <w:szCs w:val="24"/>
          <w:lang w:eastAsia="pt-BR"/>
        </w:rPr>
        <w:t>O art. 40, §4º, III da Constituição da República, na redação conferida pela EC 47/05, estabelece exceções às regras gerais de aposentadoria dos servidores públicos, nos seguintes termos:</w:t>
      </w:r>
    </w:p>
    <w:p w14:paraId="7EE1721E" w14:textId="77777777" w:rsidR="00D34891" w:rsidRPr="00D34891" w:rsidRDefault="00D34891" w:rsidP="00D34891">
      <w:pPr>
        <w:shd w:val="clear" w:color="auto" w:fill="FFFFFF"/>
        <w:spacing w:after="288" w:line="240" w:lineRule="auto"/>
        <w:ind w:firstLine="480"/>
        <w:jc w:val="both"/>
        <w:rPr>
          <w:rFonts w:ascii="Helvetica" w:eastAsia="Times New Roman" w:hAnsi="Helvetica" w:cs="Helvetica"/>
          <w:color w:val="707070"/>
          <w:szCs w:val="24"/>
          <w:lang w:eastAsia="pt-BR"/>
        </w:rPr>
      </w:pPr>
      <w:r w:rsidRPr="00D34891">
        <w:rPr>
          <w:rFonts w:ascii="Helvetica" w:eastAsia="Times New Roman" w:hAnsi="Helvetica" w:cs="Helvetica"/>
          <w:color w:val="707070"/>
          <w:szCs w:val="24"/>
          <w:lang w:eastAsia="pt-BR"/>
        </w:rPr>
        <w:t>“§ 4º É vedada a </w:t>
      </w:r>
      <w:hyperlink r:id="rId12" w:history="1">
        <w:r w:rsidRPr="00D34891">
          <w:rPr>
            <w:rFonts w:ascii="Helvetica" w:eastAsia="Times New Roman" w:hAnsi="Helvetica" w:cs="Helvetica"/>
            <w:color w:val="0C6BD1"/>
            <w:szCs w:val="24"/>
            <w:u w:val="single"/>
            <w:lang w:eastAsia="pt-BR"/>
          </w:rPr>
          <w:t>adoção</w:t>
        </w:r>
      </w:hyperlink>
      <w:r w:rsidRPr="00D34891">
        <w:rPr>
          <w:rFonts w:ascii="Helvetica" w:eastAsia="Times New Roman" w:hAnsi="Helvetica" w:cs="Helvetica"/>
          <w:color w:val="707070"/>
          <w:szCs w:val="24"/>
          <w:lang w:eastAsia="pt-BR"/>
        </w:rPr>
        <w:t> de requisitos e critérios diferenciados para a concessão de aposentadoria aos abrangidos pelo regime de que trata este artigo,ressalvados, nos termos definidos em leis complementares, os casos de servidores:</w:t>
      </w:r>
    </w:p>
    <w:p w14:paraId="29E3E582" w14:textId="77777777" w:rsidR="00D34891" w:rsidRPr="00D34891" w:rsidRDefault="00D34891" w:rsidP="00D34891">
      <w:pPr>
        <w:shd w:val="clear" w:color="auto" w:fill="FFFFFF"/>
        <w:spacing w:after="288" w:line="240" w:lineRule="auto"/>
        <w:ind w:firstLine="480"/>
        <w:jc w:val="both"/>
        <w:rPr>
          <w:rFonts w:ascii="Helvetica" w:eastAsia="Times New Roman" w:hAnsi="Helvetica" w:cs="Helvetica"/>
          <w:color w:val="707070"/>
          <w:szCs w:val="24"/>
          <w:lang w:eastAsia="pt-BR"/>
        </w:rPr>
      </w:pPr>
      <w:r w:rsidRPr="00D34891">
        <w:rPr>
          <w:rFonts w:ascii="Helvetica" w:eastAsia="Times New Roman" w:hAnsi="Helvetica" w:cs="Helvetica"/>
          <w:color w:val="707070"/>
          <w:szCs w:val="24"/>
          <w:lang w:eastAsia="pt-BR"/>
        </w:rPr>
        <w:t>I portadores de deficiência;</w:t>
      </w:r>
    </w:p>
    <w:p w14:paraId="26E86267" w14:textId="77777777" w:rsidR="00D34891" w:rsidRPr="00D34891" w:rsidRDefault="00D34891" w:rsidP="00D34891">
      <w:pPr>
        <w:shd w:val="clear" w:color="auto" w:fill="FFFFFF"/>
        <w:spacing w:after="288" w:line="240" w:lineRule="auto"/>
        <w:ind w:firstLine="480"/>
        <w:jc w:val="both"/>
        <w:rPr>
          <w:rFonts w:ascii="Helvetica" w:eastAsia="Times New Roman" w:hAnsi="Helvetica" w:cs="Helvetica"/>
          <w:color w:val="707070"/>
          <w:szCs w:val="24"/>
          <w:lang w:eastAsia="pt-BR"/>
        </w:rPr>
      </w:pPr>
      <w:r w:rsidRPr="00D34891">
        <w:rPr>
          <w:rFonts w:ascii="Helvetica" w:eastAsia="Times New Roman" w:hAnsi="Helvetica" w:cs="Helvetica"/>
          <w:color w:val="707070"/>
          <w:szCs w:val="24"/>
          <w:lang w:eastAsia="pt-BR"/>
        </w:rPr>
        <w:t>II que exerçam atividades de risco;</w:t>
      </w:r>
    </w:p>
    <w:p w14:paraId="3C13C968" w14:textId="77777777" w:rsidR="00D34891" w:rsidRPr="00D34891" w:rsidRDefault="00D34891" w:rsidP="00D34891">
      <w:pPr>
        <w:shd w:val="clear" w:color="auto" w:fill="FFFFFF"/>
        <w:spacing w:line="240" w:lineRule="auto"/>
        <w:ind w:firstLine="480"/>
        <w:jc w:val="both"/>
        <w:rPr>
          <w:rFonts w:ascii="Helvetica" w:eastAsia="Times New Roman" w:hAnsi="Helvetica" w:cs="Helvetica"/>
          <w:color w:val="707070"/>
          <w:szCs w:val="24"/>
          <w:lang w:eastAsia="pt-BR"/>
        </w:rPr>
      </w:pPr>
      <w:r w:rsidRPr="00D34891">
        <w:rPr>
          <w:rFonts w:ascii="Helvetica" w:eastAsia="Times New Roman" w:hAnsi="Helvetica" w:cs="Helvetica"/>
          <w:color w:val="707070"/>
          <w:szCs w:val="24"/>
          <w:lang w:eastAsia="pt-BR"/>
        </w:rPr>
        <w:t>III cujas atividades sejam exercidas sob condições especiais que prejudiquem a saúde ou a integridade física.”</w:t>
      </w:r>
    </w:p>
    <w:p w14:paraId="5E227944" w14:textId="77777777" w:rsidR="00D34891" w:rsidRPr="00D34891" w:rsidRDefault="00D34891" w:rsidP="00D34891">
      <w:pPr>
        <w:shd w:val="clear" w:color="auto" w:fill="FFFFFF"/>
        <w:spacing w:after="288" w:line="240" w:lineRule="auto"/>
        <w:ind w:firstLine="840"/>
        <w:jc w:val="both"/>
        <w:rPr>
          <w:rFonts w:ascii="Helvetica" w:eastAsia="Times New Roman" w:hAnsi="Helvetica" w:cs="Helvetica"/>
          <w:color w:val="333333"/>
          <w:szCs w:val="24"/>
          <w:lang w:eastAsia="pt-BR"/>
        </w:rPr>
      </w:pPr>
      <w:r w:rsidRPr="00D34891">
        <w:rPr>
          <w:rFonts w:ascii="Helvetica" w:eastAsia="Times New Roman" w:hAnsi="Helvetica" w:cs="Helvetica"/>
          <w:color w:val="333333"/>
          <w:szCs w:val="24"/>
          <w:lang w:eastAsia="pt-BR"/>
        </w:rPr>
        <w:t xml:space="preserve">Ocorre que as leis complementares citadas no referido dispositivo constitucional não foram editadas, situação que vem impedindo a concessão do </w:t>
      </w:r>
      <w:r w:rsidRPr="00D34891">
        <w:rPr>
          <w:rFonts w:ascii="Helvetica" w:eastAsia="Times New Roman" w:hAnsi="Helvetica" w:cs="Helvetica"/>
          <w:color w:val="333333"/>
          <w:szCs w:val="24"/>
          <w:lang w:eastAsia="pt-BR"/>
        </w:rPr>
        <w:lastRenderedPageBreak/>
        <w:t>benefício aos servidores destinatários da norma, em franco descumprimento ao comando do legislador constituinte derivado.</w:t>
      </w:r>
    </w:p>
    <w:p w14:paraId="6B93016A" w14:textId="77777777" w:rsidR="00D34891" w:rsidRPr="00D34891" w:rsidRDefault="00D34891" w:rsidP="00D34891">
      <w:pPr>
        <w:shd w:val="clear" w:color="auto" w:fill="FFFFFF"/>
        <w:spacing w:after="288" w:line="240" w:lineRule="auto"/>
        <w:ind w:firstLine="840"/>
        <w:jc w:val="both"/>
        <w:rPr>
          <w:rFonts w:ascii="Helvetica" w:eastAsia="Times New Roman" w:hAnsi="Helvetica" w:cs="Helvetica"/>
          <w:color w:val="333333"/>
          <w:szCs w:val="24"/>
          <w:lang w:eastAsia="pt-BR"/>
        </w:rPr>
      </w:pPr>
      <w:r w:rsidRPr="00D34891">
        <w:rPr>
          <w:rFonts w:ascii="Helvetica" w:eastAsia="Times New Roman" w:hAnsi="Helvetica" w:cs="Helvetica"/>
          <w:color w:val="333333"/>
          <w:szCs w:val="24"/>
          <w:lang w:eastAsia="pt-BR"/>
        </w:rPr>
        <w:t>Por esse motivo, o Supremo Tribunal Federal vem determinando a integração da norma, em sede de mandado de injunção, a fim de determinar a aplicação subsidiária das normas do Regime Geral de Previdência Social aos servidores públicos que se enquadrem em uma das situações especificadas no art. 40, §4º da CF.</w:t>
      </w:r>
    </w:p>
    <w:p w14:paraId="01AA25F0" w14:textId="77777777" w:rsidR="00D34891" w:rsidRPr="00D34891" w:rsidRDefault="00D34891" w:rsidP="00D34891">
      <w:pPr>
        <w:shd w:val="clear" w:color="auto" w:fill="FFFFFF"/>
        <w:spacing w:after="288" w:line="240" w:lineRule="auto"/>
        <w:ind w:firstLine="840"/>
        <w:jc w:val="both"/>
        <w:rPr>
          <w:rFonts w:ascii="Helvetica" w:eastAsia="Times New Roman" w:hAnsi="Helvetica" w:cs="Helvetica"/>
          <w:color w:val="333333"/>
          <w:szCs w:val="24"/>
          <w:lang w:eastAsia="pt-BR"/>
        </w:rPr>
      </w:pPr>
      <w:r w:rsidRPr="00D34891">
        <w:rPr>
          <w:rFonts w:ascii="Helvetica" w:eastAsia="Times New Roman" w:hAnsi="Helvetica" w:cs="Helvetica"/>
          <w:color w:val="333333"/>
          <w:szCs w:val="24"/>
          <w:lang w:eastAsia="pt-BR"/>
        </w:rPr>
        <w:t>Neste sentido, destaco o seguinte precedente do Supremo Tribunal Federal:</w:t>
      </w:r>
    </w:p>
    <w:p w14:paraId="777E2759" w14:textId="77777777" w:rsidR="00D34891" w:rsidRPr="00D34891" w:rsidRDefault="00D34891" w:rsidP="00D34891">
      <w:pPr>
        <w:shd w:val="clear" w:color="auto" w:fill="FFFFFF"/>
        <w:spacing w:after="288" w:line="240" w:lineRule="auto"/>
        <w:ind w:firstLine="480"/>
        <w:jc w:val="both"/>
        <w:rPr>
          <w:rFonts w:ascii="Helvetica" w:eastAsia="Times New Roman" w:hAnsi="Helvetica" w:cs="Helvetica"/>
          <w:color w:val="707070"/>
          <w:szCs w:val="24"/>
          <w:lang w:eastAsia="pt-BR"/>
        </w:rPr>
      </w:pPr>
      <w:r w:rsidRPr="00D34891">
        <w:rPr>
          <w:rFonts w:ascii="Helvetica" w:eastAsia="Times New Roman" w:hAnsi="Helvetica" w:cs="Helvetica"/>
          <w:color w:val="707070"/>
          <w:szCs w:val="24"/>
          <w:lang w:eastAsia="pt-BR"/>
        </w:rPr>
        <w:t>“E M E N T A: MANDADO DE INJUNÇÃO – EMBARGOS DE DECLARAÇÃO RECEBIDOS COMO RECURSO DE AGRAVO– APOSENTADORIA ESPECIAL (CF, ART. 40, § 4º) –DECISÃO MONOCRÁTICA QUE CONCEDEU A ORDEM INJUNCIONAL, PARA, RECONHECIDO O ESTADO DEMORA LEGISLATIVA, GARANTIR, À PARTE IMPETRANTE,O DIREITO DE TER O SEU PEDIDO DE APOSENTADORIA ESPECIAL CONCRETAMENTE ANALISADO PELA AUTORIDADE ADMINISTRATIVA COMPETENTE,OBSERVADO, PARA TANTO, O QUE DISPÕE O ART. 57 DA</w:t>
      </w:r>
    </w:p>
    <w:p w14:paraId="3DB88642" w14:textId="77777777" w:rsidR="00D34891" w:rsidRPr="00D34891" w:rsidRDefault="00D34891" w:rsidP="00D34891">
      <w:pPr>
        <w:shd w:val="clear" w:color="auto" w:fill="FFFFFF"/>
        <w:spacing w:line="240" w:lineRule="auto"/>
        <w:ind w:firstLine="480"/>
        <w:jc w:val="both"/>
        <w:rPr>
          <w:rFonts w:ascii="Helvetica" w:eastAsia="Times New Roman" w:hAnsi="Helvetica" w:cs="Helvetica"/>
          <w:color w:val="707070"/>
          <w:szCs w:val="24"/>
          <w:lang w:eastAsia="pt-BR"/>
        </w:rPr>
      </w:pPr>
      <w:r w:rsidRPr="00D34891">
        <w:rPr>
          <w:rFonts w:ascii="Helvetica" w:eastAsia="Times New Roman" w:hAnsi="Helvetica" w:cs="Helvetica"/>
          <w:color w:val="707070"/>
          <w:szCs w:val="24"/>
          <w:lang w:eastAsia="pt-BR"/>
        </w:rPr>
        <w:t>LEI Nº 8.213/91 – DECISÃO QUE SE AJUSTA, NO PONTO, AOS PRECEDENTES DO SUPREMO TRIBUNAL FEDERAL,EM ESPECIAL O MI 721/DF, REL. MIN. MARCO AURÉLIO,E O MI 2.195 AGR/DF, REL. MIN. CÁRMEN LÚCIA. CONSEQÜENTE INVIABILIDADE DA POSTULAÇÃO RECURSAL – SUBSISTÊNCIA DOS FUNDAMENTOS QUE DÃO SUPORTE À DECISÃO RECORRIDA – RECURSO DE AGRAVO IMPROVIDO.(MI 1194 ED, Relator(a): Min. CELSO DE MELLO, Tribunal Pleno, julgado em 12/05/2011, DJe 098 DIVULG 24 05 2011 PUBLIC 25 05 2011 EMENT VOL 02529 01 PP 00023)</w:t>
      </w:r>
    </w:p>
    <w:p w14:paraId="6B0359D5" w14:textId="77777777" w:rsidR="00D34891" w:rsidRPr="00D34891" w:rsidRDefault="00D34891" w:rsidP="00D34891">
      <w:pPr>
        <w:shd w:val="clear" w:color="auto" w:fill="FFFFFF"/>
        <w:spacing w:after="288" w:line="240" w:lineRule="auto"/>
        <w:ind w:firstLine="840"/>
        <w:jc w:val="both"/>
        <w:rPr>
          <w:rFonts w:ascii="Helvetica" w:eastAsia="Times New Roman" w:hAnsi="Helvetica" w:cs="Helvetica"/>
          <w:color w:val="333333"/>
          <w:szCs w:val="24"/>
          <w:lang w:eastAsia="pt-BR"/>
        </w:rPr>
      </w:pPr>
      <w:r w:rsidRPr="00D34891">
        <w:rPr>
          <w:rFonts w:ascii="Helvetica" w:eastAsia="Times New Roman" w:hAnsi="Helvetica" w:cs="Helvetica"/>
          <w:color w:val="333333"/>
          <w:szCs w:val="24"/>
          <w:lang w:eastAsia="pt-BR"/>
        </w:rPr>
        <w:t>Ressalte-se, ademais, que a aplicação subsidiária das normas do RGPS aos servidores públicos federais encontra expressa previsão no §12 do art. 40 da Carta da República:</w:t>
      </w:r>
    </w:p>
    <w:p w14:paraId="7A9A21A2" w14:textId="77777777" w:rsidR="00D34891" w:rsidRPr="00D34891" w:rsidRDefault="00D34891" w:rsidP="00D34891">
      <w:pPr>
        <w:shd w:val="clear" w:color="auto" w:fill="FFFFFF"/>
        <w:spacing w:line="240" w:lineRule="auto"/>
        <w:ind w:firstLine="480"/>
        <w:jc w:val="both"/>
        <w:rPr>
          <w:rFonts w:ascii="Helvetica" w:eastAsia="Times New Roman" w:hAnsi="Helvetica" w:cs="Helvetica"/>
          <w:color w:val="707070"/>
          <w:szCs w:val="24"/>
          <w:lang w:eastAsia="pt-BR"/>
        </w:rPr>
      </w:pPr>
      <w:r w:rsidRPr="00D34891">
        <w:rPr>
          <w:rFonts w:ascii="Helvetica" w:eastAsia="Times New Roman" w:hAnsi="Helvetica" w:cs="Helvetica"/>
          <w:color w:val="707070"/>
          <w:szCs w:val="24"/>
          <w:lang w:eastAsia="pt-BR"/>
        </w:rPr>
        <w:t>§ 12 Além do disposto neste artigo, o regime de previdência dos servidores públicos titulares de cargo efetivo observará, no que couber, os requisitos e critérios fixados para o regime geral de previdência social.</w:t>
      </w:r>
    </w:p>
    <w:p w14:paraId="06093B5E" w14:textId="77777777" w:rsidR="00D34891" w:rsidRPr="00D34891" w:rsidRDefault="00D34891" w:rsidP="00D34891">
      <w:pPr>
        <w:shd w:val="clear" w:color="auto" w:fill="FFFFFF"/>
        <w:spacing w:after="288" w:line="240" w:lineRule="auto"/>
        <w:ind w:firstLine="840"/>
        <w:jc w:val="both"/>
        <w:rPr>
          <w:rFonts w:ascii="Helvetica" w:eastAsia="Times New Roman" w:hAnsi="Helvetica" w:cs="Helvetica"/>
          <w:color w:val="333333"/>
          <w:szCs w:val="24"/>
          <w:lang w:eastAsia="pt-BR"/>
        </w:rPr>
      </w:pPr>
      <w:r w:rsidRPr="00D34891">
        <w:rPr>
          <w:rFonts w:ascii="Helvetica" w:eastAsia="Times New Roman" w:hAnsi="Helvetica" w:cs="Helvetica"/>
          <w:color w:val="333333"/>
          <w:szCs w:val="24"/>
          <w:lang w:eastAsia="pt-BR"/>
        </w:rPr>
        <w:t>Sendo assim, mostra-se aplicável, enquanto não sobrevier norma específica regulando a </w:t>
      </w:r>
      <w:hyperlink r:id="rId13" w:history="1">
        <w:r w:rsidRPr="00D34891">
          <w:rPr>
            <w:rFonts w:ascii="Helvetica" w:eastAsia="Times New Roman" w:hAnsi="Helvetica" w:cs="Helvetica"/>
            <w:color w:val="0C6BD1"/>
            <w:szCs w:val="24"/>
            <w:u w:val="single"/>
            <w:lang w:eastAsia="pt-BR"/>
          </w:rPr>
          <w:t>aposentadoria especial</w:t>
        </w:r>
      </w:hyperlink>
      <w:r w:rsidRPr="00D34891">
        <w:rPr>
          <w:rFonts w:ascii="Helvetica" w:eastAsia="Times New Roman" w:hAnsi="Helvetica" w:cs="Helvetica"/>
          <w:color w:val="333333"/>
          <w:szCs w:val="24"/>
          <w:lang w:eastAsia="pt-BR"/>
        </w:rPr>
        <w:t> dos servidores públicos, o disposto no art. 57 da Lei 8.213/91, no que couber.</w:t>
      </w:r>
    </w:p>
    <w:p w14:paraId="2B372DD6" w14:textId="77777777" w:rsidR="00D34891" w:rsidRPr="00D34891" w:rsidRDefault="00D34891" w:rsidP="00D34891">
      <w:pPr>
        <w:shd w:val="clear" w:color="auto" w:fill="FFFFFF"/>
        <w:spacing w:after="288" w:line="240" w:lineRule="auto"/>
        <w:ind w:firstLine="840"/>
        <w:jc w:val="both"/>
        <w:rPr>
          <w:rFonts w:ascii="Helvetica" w:eastAsia="Times New Roman" w:hAnsi="Helvetica" w:cs="Helvetica"/>
          <w:color w:val="333333"/>
          <w:szCs w:val="24"/>
          <w:lang w:eastAsia="pt-BR"/>
        </w:rPr>
      </w:pPr>
      <w:r w:rsidRPr="00D34891">
        <w:rPr>
          <w:rFonts w:ascii="Helvetica" w:eastAsia="Times New Roman" w:hAnsi="Helvetica" w:cs="Helvetica"/>
          <w:color w:val="333333"/>
          <w:szCs w:val="24"/>
          <w:lang w:eastAsia="pt-BR"/>
        </w:rPr>
        <w:t>Já o parágrafo 1º do artigo 57 da Lei 8.213/91, dispõe que:</w:t>
      </w:r>
    </w:p>
    <w:p w14:paraId="7EE6366B" w14:textId="77777777" w:rsidR="00D34891" w:rsidRPr="00D34891" w:rsidRDefault="00D34891" w:rsidP="00D34891">
      <w:pPr>
        <w:shd w:val="clear" w:color="auto" w:fill="FFFFFF"/>
        <w:spacing w:after="288" w:line="240" w:lineRule="auto"/>
        <w:ind w:firstLine="480"/>
        <w:jc w:val="both"/>
        <w:rPr>
          <w:rFonts w:ascii="Helvetica" w:eastAsia="Times New Roman" w:hAnsi="Helvetica" w:cs="Helvetica"/>
          <w:color w:val="707070"/>
          <w:szCs w:val="24"/>
          <w:lang w:eastAsia="pt-BR"/>
        </w:rPr>
      </w:pPr>
      <w:r w:rsidRPr="00D34891">
        <w:rPr>
          <w:rFonts w:ascii="Helvetica" w:eastAsia="Times New Roman" w:hAnsi="Helvetica" w:cs="Helvetica"/>
          <w:color w:val="707070"/>
          <w:szCs w:val="24"/>
          <w:lang w:eastAsia="pt-BR"/>
        </w:rPr>
        <w:t>Art. 57 - A aposentadoria especial será devida, uma vez cumprida a carência exigida nesta Lei, ao segurado que tiver trabalhado sujeito a condições especiais que prejudiquem a saúde ou a integridade física, durante 15 (quinze), 20 (vinte) ou 25 (vinte e cinco) anos, conforme dispuser a lei.</w:t>
      </w:r>
    </w:p>
    <w:p w14:paraId="60C2923E" w14:textId="77777777" w:rsidR="00D34891" w:rsidRPr="00D34891" w:rsidRDefault="00D34891" w:rsidP="00D34891">
      <w:pPr>
        <w:shd w:val="clear" w:color="auto" w:fill="FFFFFF"/>
        <w:spacing w:line="240" w:lineRule="auto"/>
        <w:ind w:firstLine="480"/>
        <w:jc w:val="both"/>
        <w:rPr>
          <w:rFonts w:ascii="Helvetica" w:eastAsia="Times New Roman" w:hAnsi="Helvetica" w:cs="Helvetica"/>
          <w:color w:val="707070"/>
          <w:szCs w:val="24"/>
          <w:lang w:eastAsia="pt-BR"/>
        </w:rPr>
      </w:pPr>
      <w:r w:rsidRPr="00D34891">
        <w:rPr>
          <w:rFonts w:ascii="Helvetica" w:eastAsia="Times New Roman" w:hAnsi="Helvetica" w:cs="Helvetica"/>
          <w:color w:val="707070"/>
          <w:szCs w:val="24"/>
          <w:lang w:eastAsia="pt-BR"/>
        </w:rPr>
        <w:lastRenderedPageBreak/>
        <w:t>§ 1º - A aposentadoria especial, observado o disposto no art. 33 desta Lei, consistirá numa renda mensal equivalente a 100% (cem por cento) do salário de benefício.</w:t>
      </w:r>
    </w:p>
    <w:p w14:paraId="2371399B" w14:textId="77777777" w:rsidR="00D34891" w:rsidRPr="00D34891" w:rsidRDefault="00D34891" w:rsidP="00D34891">
      <w:pPr>
        <w:shd w:val="clear" w:color="auto" w:fill="FFFFFF"/>
        <w:spacing w:after="288" w:line="240" w:lineRule="auto"/>
        <w:ind w:firstLine="840"/>
        <w:jc w:val="both"/>
        <w:rPr>
          <w:rFonts w:ascii="Helvetica" w:eastAsia="Times New Roman" w:hAnsi="Helvetica" w:cs="Helvetica"/>
          <w:color w:val="333333"/>
          <w:szCs w:val="24"/>
          <w:lang w:eastAsia="pt-BR"/>
        </w:rPr>
      </w:pPr>
      <w:r w:rsidRPr="00D34891">
        <w:rPr>
          <w:rFonts w:ascii="Helvetica" w:eastAsia="Times New Roman" w:hAnsi="Helvetica" w:cs="Helvetica"/>
          <w:color w:val="333333"/>
          <w:szCs w:val="24"/>
          <w:lang w:eastAsia="pt-BR"/>
        </w:rPr>
        <w:t>Com efeito, o servidor ocupante de cargo cujas atribuições estejam sujeitas a exposição a agentes nocivos, e uma vez demonstrada tal exposição, faz jus a aposentadoria especial conforme as regras aplicadas aos segurados da Previdência Social, vinculados ao RGPS – Regime Geral de Previdência Social, com aplicação analógica daquela norma.</w:t>
      </w:r>
    </w:p>
    <w:p w14:paraId="49BBA40F" w14:textId="77777777" w:rsidR="00D34891" w:rsidRPr="00D34891" w:rsidRDefault="00D34891" w:rsidP="00D34891">
      <w:pPr>
        <w:shd w:val="clear" w:color="auto" w:fill="FFFFFF"/>
        <w:spacing w:after="288" w:line="240" w:lineRule="auto"/>
        <w:ind w:firstLine="840"/>
        <w:jc w:val="both"/>
        <w:rPr>
          <w:rFonts w:ascii="Helvetica" w:eastAsia="Times New Roman" w:hAnsi="Helvetica" w:cs="Helvetica"/>
          <w:color w:val="333333"/>
          <w:szCs w:val="24"/>
          <w:lang w:eastAsia="pt-BR"/>
        </w:rPr>
      </w:pPr>
      <w:r w:rsidRPr="00D34891">
        <w:rPr>
          <w:rFonts w:ascii="Helvetica" w:eastAsia="Times New Roman" w:hAnsi="Helvetica" w:cs="Helvetica"/>
          <w:color w:val="333333"/>
          <w:szCs w:val="24"/>
          <w:lang w:eastAsia="pt-BR"/>
        </w:rPr>
        <w:t>Ressalte-se, contudo, que não se faz necessária a apresentação do formulário e do laudo técnico previstos no art. 58, §1º da Lei 8.213/91 para fins de comprovação do tempo de trabalho exercido sob condições especiais prejudiciais à saúde ou à integridade física, tendo em vista que estes documentos não são expedidos pelos órgãos públicos, por falta de previsão legal.</w:t>
      </w:r>
    </w:p>
    <w:p w14:paraId="3E91A87E" w14:textId="77777777" w:rsidR="00D34891" w:rsidRPr="00D34891" w:rsidRDefault="00D34891" w:rsidP="00D34891">
      <w:pPr>
        <w:shd w:val="clear" w:color="auto" w:fill="FFFFFF"/>
        <w:spacing w:after="288" w:line="240" w:lineRule="auto"/>
        <w:ind w:firstLine="840"/>
        <w:jc w:val="both"/>
        <w:rPr>
          <w:rFonts w:ascii="Helvetica" w:eastAsia="Times New Roman" w:hAnsi="Helvetica" w:cs="Helvetica"/>
          <w:color w:val="333333"/>
          <w:szCs w:val="24"/>
          <w:lang w:eastAsia="pt-BR"/>
        </w:rPr>
      </w:pPr>
      <w:r w:rsidRPr="00D34891">
        <w:rPr>
          <w:rFonts w:ascii="Helvetica" w:eastAsia="Times New Roman" w:hAnsi="Helvetica" w:cs="Helvetica"/>
          <w:color w:val="333333"/>
          <w:szCs w:val="24"/>
          <w:lang w:eastAsia="pt-BR"/>
        </w:rPr>
        <w:t>Assim, a percepção do adicional de insalubridade ou periculosidade é suficiente para esta comprovação, uma vez que o art. 68 da Lei 8.112/91 estabelece que a vantagem somente é devida aos servidores que trabalhem com habitualidade em locais insalubres ou em contato permanente com substâncias tóxicas, o que atende ao requisito previsto no inciso III do §4º do art. 40 da CF.</w:t>
      </w:r>
    </w:p>
    <w:p w14:paraId="74F9C9D4" w14:textId="77777777" w:rsidR="00D34891" w:rsidRPr="00D34891" w:rsidRDefault="00D34891" w:rsidP="00D34891">
      <w:pPr>
        <w:shd w:val="clear" w:color="auto" w:fill="FFFFFF"/>
        <w:spacing w:after="288" w:line="240" w:lineRule="auto"/>
        <w:ind w:firstLine="840"/>
        <w:jc w:val="both"/>
        <w:rPr>
          <w:rFonts w:ascii="Helvetica" w:eastAsia="Times New Roman" w:hAnsi="Helvetica" w:cs="Helvetica"/>
          <w:color w:val="333333"/>
          <w:szCs w:val="24"/>
          <w:lang w:eastAsia="pt-BR"/>
        </w:rPr>
      </w:pPr>
      <w:r w:rsidRPr="00D34891">
        <w:rPr>
          <w:rFonts w:ascii="Helvetica" w:eastAsia="Times New Roman" w:hAnsi="Helvetica" w:cs="Helvetica"/>
          <w:color w:val="333333"/>
          <w:szCs w:val="24"/>
          <w:lang w:eastAsia="pt-BR"/>
        </w:rPr>
        <w:t>Em hipótese análoga à aqui versada, assim se manifestou o TRF da 5ª Região:</w:t>
      </w:r>
    </w:p>
    <w:p w14:paraId="2DC0C4F9" w14:textId="77777777" w:rsidR="00D34891" w:rsidRPr="00D34891" w:rsidRDefault="00D34891" w:rsidP="00D34891">
      <w:pPr>
        <w:shd w:val="clear" w:color="auto" w:fill="FFFFFF"/>
        <w:spacing w:after="288" w:line="240" w:lineRule="auto"/>
        <w:ind w:firstLine="480"/>
        <w:jc w:val="both"/>
        <w:rPr>
          <w:rFonts w:ascii="Helvetica" w:eastAsia="Times New Roman" w:hAnsi="Helvetica" w:cs="Helvetica"/>
          <w:color w:val="707070"/>
          <w:szCs w:val="24"/>
          <w:lang w:eastAsia="pt-BR"/>
        </w:rPr>
      </w:pPr>
      <w:r w:rsidRPr="00D34891">
        <w:rPr>
          <w:rFonts w:ascii="Helvetica" w:eastAsia="Times New Roman" w:hAnsi="Helvetica" w:cs="Helvetica"/>
          <w:color w:val="707070"/>
          <w:szCs w:val="24"/>
          <w:lang w:eastAsia="pt-BR"/>
        </w:rPr>
        <w:t>“MANDADO DE SEGURANÇA. APOSENTADORIA ESPECIAL. MÉDICO PERITO DO INSS. MANDADO DE INJUNÇÃO IMPETRADO JUNTO AO STF. PEDIDO DE APOSENTADORIA ESPECIAL APRECIADO À LUZ DO ART.</w:t>
      </w:r>
    </w:p>
    <w:p w14:paraId="57516124" w14:textId="77777777" w:rsidR="00D34891" w:rsidRPr="00D34891" w:rsidRDefault="00D34891" w:rsidP="00D34891">
      <w:pPr>
        <w:shd w:val="clear" w:color="auto" w:fill="FFFFFF"/>
        <w:spacing w:after="288" w:line="240" w:lineRule="auto"/>
        <w:ind w:firstLine="480"/>
        <w:jc w:val="both"/>
        <w:rPr>
          <w:rFonts w:ascii="Helvetica" w:eastAsia="Times New Roman" w:hAnsi="Helvetica" w:cs="Helvetica"/>
          <w:color w:val="707070"/>
          <w:szCs w:val="24"/>
          <w:lang w:eastAsia="pt-BR"/>
        </w:rPr>
      </w:pPr>
      <w:r w:rsidRPr="00D34891">
        <w:rPr>
          <w:rFonts w:ascii="Helvetica" w:eastAsia="Times New Roman" w:hAnsi="Helvetica" w:cs="Helvetica"/>
          <w:color w:val="707070"/>
          <w:szCs w:val="24"/>
          <w:lang w:eastAsia="pt-BR"/>
        </w:rPr>
        <w:t>57 DA LEI Nº 8.213/91. PRELIMINAR DE INADEQUAÇÃO DA VIA ELEITA REJEITADA. PROVA PRÉ CONSTITUÍDA.ATIVIDADE INSALUBRE.</w:t>
      </w:r>
    </w:p>
    <w:p w14:paraId="6808965D" w14:textId="77777777" w:rsidR="00D34891" w:rsidRPr="00D34891" w:rsidRDefault="00D34891" w:rsidP="00D34891">
      <w:pPr>
        <w:shd w:val="clear" w:color="auto" w:fill="FFFFFF"/>
        <w:spacing w:after="288" w:line="240" w:lineRule="auto"/>
        <w:ind w:firstLine="480"/>
        <w:jc w:val="both"/>
        <w:rPr>
          <w:rFonts w:ascii="Helvetica" w:eastAsia="Times New Roman" w:hAnsi="Helvetica" w:cs="Helvetica"/>
          <w:color w:val="707070"/>
          <w:szCs w:val="24"/>
          <w:lang w:eastAsia="pt-BR"/>
        </w:rPr>
      </w:pPr>
      <w:r w:rsidRPr="00D34891">
        <w:rPr>
          <w:rFonts w:ascii="Helvetica" w:eastAsia="Times New Roman" w:hAnsi="Helvetica" w:cs="Helvetica"/>
          <w:color w:val="707070"/>
          <w:szCs w:val="24"/>
          <w:lang w:eastAsia="pt-BR"/>
        </w:rPr>
        <w:t> O mandado de injunção impetrado pelo requerente junto ao STF em face do Presidente da República apenas permitiu que a pretensão de aposentadoria especial do impetrante, à falta de edição da lei complementar, fosse apreciada à luz do artigo 57 da Lei nº 8.213/91, reconhecendo se a mora da iniciativa legislativa quanto à matéria. Preliminar de inadequação da via eleita que se rejeita.</w:t>
      </w:r>
    </w:p>
    <w:p w14:paraId="2C7D6A64" w14:textId="77777777" w:rsidR="00D34891" w:rsidRPr="00D34891" w:rsidRDefault="00D34891" w:rsidP="00D34891">
      <w:pPr>
        <w:shd w:val="clear" w:color="auto" w:fill="FFFFFF"/>
        <w:spacing w:line="240" w:lineRule="auto"/>
        <w:ind w:firstLine="480"/>
        <w:jc w:val="both"/>
        <w:rPr>
          <w:rFonts w:ascii="Helvetica" w:eastAsia="Times New Roman" w:hAnsi="Helvetica" w:cs="Helvetica"/>
          <w:color w:val="707070"/>
          <w:szCs w:val="24"/>
          <w:lang w:eastAsia="pt-BR"/>
        </w:rPr>
      </w:pPr>
      <w:r w:rsidRPr="00D34891">
        <w:rPr>
          <w:rFonts w:ascii="Helvetica" w:eastAsia="Times New Roman" w:hAnsi="Helvetica" w:cs="Helvetica"/>
          <w:color w:val="707070"/>
          <w:szCs w:val="24"/>
          <w:lang w:eastAsia="pt-BR"/>
        </w:rPr>
        <w:t xml:space="preserve">O cargo de médico enquadra-se no elenco de atividades profissionais previstas no anexo do Dec. nº 53.831/64, código 2.1.3, bem como no Dec. nº 83.080/79, código 1.3.4 (anexo I), ficando demonstrado nos autos, com base em ato interno expedido pela própria autarquia (Orientação Interna nº01/INSS/DRH, de 19 de janeiro de 2009, fls. 279) e ante a demonstração de recebimento de adicional de insalubridade nos contracheques colacionados nos autos,que o impetrante continua desempenhando sua atividades profissionais em ambiente insalubre, fazendo jus, portanto, à aposentadoria especial vindicada, eis que conta com mais de 25 anos de tempo de serviço prestado como médico perito junto ao INSS, conforme certidão de tempo de serviço acostada aos autos. </w:t>
      </w:r>
      <w:r w:rsidRPr="00D34891">
        <w:rPr>
          <w:rFonts w:ascii="Helvetica" w:eastAsia="Times New Roman" w:hAnsi="Helvetica" w:cs="Helvetica"/>
          <w:color w:val="707070"/>
          <w:szCs w:val="24"/>
          <w:lang w:eastAsia="pt-BR"/>
        </w:rPr>
        <w:lastRenderedPageBreak/>
        <w:t>Instituída a aposentadoria após a promulgação da EC nº 41/2003, a qual extingui com a regra da paridade ou da integralidade das aposentadorias e pensões de seus dependentes em relação aos servidores da ativa, o referido beneficio deve observar as suas disposições. Apelação do INSS não provida. Remessa oficial parcialmente provida apenas. para que se observe na instituição da aposentadoria a EC nº 41/2003.” (APELREEX 200983000197285; 4ª Turma;Rel. Desembargador Federal Frederico Dantas; DJE Data::19/05/2011);</w:t>
      </w:r>
    </w:p>
    <w:p w14:paraId="62675ACA" w14:textId="77777777" w:rsidR="00D34891" w:rsidRPr="00D34891" w:rsidRDefault="00D34891" w:rsidP="00D34891">
      <w:pPr>
        <w:shd w:val="clear" w:color="auto" w:fill="FFFFFF"/>
        <w:spacing w:after="288" w:line="240" w:lineRule="auto"/>
        <w:ind w:firstLine="840"/>
        <w:jc w:val="both"/>
        <w:rPr>
          <w:rFonts w:ascii="Helvetica" w:eastAsia="Times New Roman" w:hAnsi="Helvetica" w:cs="Helvetica"/>
          <w:color w:val="333333"/>
          <w:szCs w:val="24"/>
          <w:lang w:eastAsia="pt-BR"/>
        </w:rPr>
      </w:pPr>
      <w:r w:rsidRPr="00D34891">
        <w:rPr>
          <w:rFonts w:ascii="Helvetica" w:eastAsia="Times New Roman" w:hAnsi="Helvetica" w:cs="Helvetica"/>
          <w:color w:val="333333"/>
          <w:szCs w:val="24"/>
          <w:lang w:eastAsia="pt-BR"/>
        </w:rPr>
        <w:t>Destaque-se que a aposentadoria especial do autor deverá ser calculada com base nas regras permanentes do art. 40 da Carta da República, em especial os parágrafos 3º e 17, que preveem o cálculo do benefício pela média das remunerações, devidamente atualizadas, normas que, ademais, reproduzem a disciplina constitucional aplicável aos benefícios do RGPS, cuja aplicação subsidiária ora se postula.</w:t>
      </w:r>
    </w:p>
    <w:p w14:paraId="3212D6C5" w14:textId="77777777" w:rsidR="00D34891" w:rsidRPr="00D34891" w:rsidRDefault="00D34891" w:rsidP="00D34891">
      <w:pPr>
        <w:shd w:val="clear" w:color="auto" w:fill="FFFFFF"/>
        <w:spacing w:after="288" w:line="240" w:lineRule="auto"/>
        <w:ind w:firstLine="840"/>
        <w:jc w:val="both"/>
        <w:rPr>
          <w:rFonts w:ascii="Helvetica" w:eastAsia="Times New Roman" w:hAnsi="Helvetica" w:cs="Helvetica"/>
          <w:color w:val="333333"/>
          <w:szCs w:val="24"/>
          <w:lang w:eastAsia="pt-BR"/>
        </w:rPr>
      </w:pPr>
      <w:r w:rsidRPr="00D34891">
        <w:rPr>
          <w:rFonts w:ascii="Helvetica" w:eastAsia="Times New Roman" w:hAnsi="Helvetica" w:cs="Helvetica"/>
          <w:color w:val="333333"/>
          <w:szCs w:val="24"/>
          <w:lang w:eastAsia="pt-BR"/>
        </w:rPr>
        <w:t>Pois bem, conjugando os dois dispositivos legais invocados, temos que o também o servidor público que trabalhou por 25 anos sob condições insalubres faz jus a aposentadoria especial com proventos integrais, na esteira da dicção do STF.</w:t>
      </w:r>
    </w:p>
    <w:p w14:paraId="17C5FFD0" w14:textId="77777777" w:rsidR="00D34891" w:rsidRPr="00D34891" w:rsidRDefault="00D34891" w:rsidP="00D34891">
      <w:pPr>
        <w:shd w:val="clear" w:color="auto" w:fill="FFFFFF"/>
        <w:spacing w:after="288" w:line="240" w:lineRule="auto"/>
        <w:ind w:firstLine="840"/>
        <w:jc w:val="both"/>
        <w:rPr>
          <w:rFonts w:ascii="Helvetica" w:eastAsia="Times New Roman" w:hAnsi="Helvetica" w:cs="Helvetica"/>
          <w:color w:val="333333"/>
          <w:szCs w:val="24"/>
          <w:lang w:eastAsia="pt-BR"/>
        </w:rPr>
      </w:pPr>
      <w:r w:rsidRPr="00D34891">
        <w:rPr>
          <w:rFonts w:ascii="Helvetica" w:eastAsia="Times New Roman" w:hAnsi="Helvetica" w:cs="Helvetica"/>
          <w:color w:val="333333"/>
          <w:szCs w:val="24"/>
          <w:lang w:eastAsia="pt-BR"/>
        </w:rPr>
        <w:t>Confira-se a Ementa do primeiro julgado do STF sobre o thema:</w:t>
      </w:r>
    </w:p>
    <w:p w14:paraId="21F3838A" w14:textId="77777777" w:rsidR="00D34891" w:rsidRPr="00D34891" w:rsidRDefault="00D34891" w:rsidP="00D34891">
      <w:pPr>
        <w:shd w:val="clear" w:color="auto" w:fill="FFFFFF"/>
        <w:spacing w:after="288" w:line="240" w:lineRule="auto"/>
        <w:ind w:firstLine="480"/>
        <w:jc w:val="both"/>
        <w:rPr>
          <w:rFonts w:ascii="Helvetica" w:eastAsia="Times New Roman" w:hAnsi="Helvetica" w:cs="Helvetica"/>
          <w:color w:val="707070"/>
          <w:szCs w:val="24"/>
          <w:lang w:eastAsia="pt-BR"/>
        </w:rPr>
      </w:pPr>
      <w:r w:rsidRPr="00D34891">
        <w:rPr>
          <w:rFonts w:ascii="Helvetica" w:eastAsia="Times New Roman" w:hAnsi="Helvetica" w:cs="Helvetica"/>
          <w:color w:val="707070"/>
          <w:szCs w:val="24"/>
          <w:lang w:eastAsia="pt-BR"/>
        </w:rPr>
        <w:t>DJe-182 DIVULG 25-09-2008 PUBLIC 26-09-2008</w:t>
      </w:r>
    </w:p>
    <w:p w14:paraId="160A08B9" w14:textId="77777777" w:rsidR="00D34891" w:rsidRPr="00D34891" w:rsidRDefault="00D34891" w:rsidP="00D34891">
      <w:pPr>
        <w:shd w:val="clear" w:color="auto" w:fill="FFFFFF"/>
        <w:spacing w:after="288" w:line="240" w:lineRule="auto"/>
        <w:ind w:firstLine="480"/>
        <w:jc w:val="both"/>
        <w:rPr>
          <w:rFonts w:ascii="Helvetica" w:eastAsia="Times New Roman" w:hAnsi="Helvetica" w:cs="Helvetica"/>
          <w:color w:val="707070"/>
          <w:szCs w:val="24"/>
          <w:lang w:eastAsia="pt-BR"/>
        </w:rPr>
      </w:pPr>
      <w:r w:rsidRPr="00D34891">
        <w:rPr>
          <w:rFonts w:ascii="Helvetica" w:eastAsia="Times New Roman" w:hAnsi="Helvetica" w:cs="Helvetica"/>
          <w:color w:val="707070"/>
          <w:szCs w:val="24"/>
          <w:lang w:eastAsia="pt-BR"/>
        </w:rPr>
        <w:t>EMENT VOL-02334-01 PP-00037 RDECTRAB v. 15, n. 174, 2009, p. 157-167</w:t>
      </w:r>
    </w:p>
    <w:p w14:paraId="19FD4E8B" w14:textId="77777777" w:rsidR="00D34891" w:rsidRPr="00D34891" w:rsidRDefault="00D34891" w:rsidP="00D34891">
      <w:pPr>
        <w:shd w:val="clear" w:color="auto" w:fill="FFFFFF"/>
        <w:spacing w:after="288" w:line="240" w:lineRule="auto"/>
        <w:ind w:firstLine="480"/>
        <w:jc w:val="both"/>
        <w:rPr>
          <w:rFonts w:ascii="Helvetica" w:eastAsia="Times New Roman" w:hAnsi="Helvetica" w:cs="Helvetica"/>
          <w:color w:val="707070"/>
          <w:szCs w:val="24"/>
          <w:lang w:eastAsia="pt-BR"/>
        </w:rPr>
      </w:pPr>
      <w:r w:rsidRPr="00D34891">
        <w:rPr>
          <w:rFonts w:ascii="Helvetica" w:eastAsia="Times New Roman" w:hAnsi="Helvetica" w:cs="Helvetica"/>
          <w:color w:val="707070"/>
          <w:szCs w:val="24"/>
          <w:lang w:eastAsia="pt-BR"/>
        </w:rPr>
        <w:t>MANDADO DE INJUNÇÃO - NATUREZA. Conforme disposto no inciso LXXI do artigo 5º da Constituição Federal, conceder-se-á mandado de injunção quando necessário ao exercício dos direitos e liberdades constitucionais e das prerrogativas inerentes à nacionalidade, à soberania e à cidadania. Há ação mandamental e não simplesmente declaratória de omissão. A carga de declaração não é objeto da impetração, mas premissa da ordem a ser formalizada. MANDADO DE INJUNÇÃO - DECISÃO - BALIZAS. Tratando-se de </w:t>
      </w:r>
      <w:hyperlink r:id="rId14" w:history="1">
        <w:r w:rsidRPr="00D34891">
          <w:rPr>
            <w:rFonts w:ascii="Helvetica" w:eastAsia="Times New Roman" w:hAnsi="Helvetica" w:cs="Helvetica"/>
            <w:color w:val="0C6BD1"/>
            <w:szCs w:val="24"/>
            <w:u w:val="single"/>
            <w:lang w:eastAsia="pt-BR"/>
          </w:rPr>
          <w:t>processo</w:t>
        </w:r>
      </w:hyperlink>
      <w:r w:rsidRPr="00D34891">
        <w:rPr>
          <w:rFonts w:ascii="Helvetica" w:eastAsia="Times New Roman" w:hAnsi="Helvetica" w:cs="Helvetica"/>
          <w:color w:val="707070"/>
          <w:szCs w:val="24"/>
          <w:lang w:eastAsia="pt-BR"/>
        </w:rPr>
        <w:t> subjetivo, a decisão possui eficácia considerada a relação jurídica nele revelada. APOSENTADORIA - TRABALHO EM CONDIÇÕES ESPECIAIS - PREJUÍZO À SAÚDE DO SERVIDOR - INEXISTÊNCIA DE LEI COMPLEMENTAR - ARTIGO 40, § 4º, DA CONSTITUIÇÃO FEDERAL. Inexistente a disciplina específica da aposentadoria especial do servidor, impõe-se a adoção, via pronunciamento judicial, daquela própria aos trabalhadores em geral - artigo 57, § 1º, da Lei nº 8.213/91.</w:t>
      </w:r>
    </w:p>
    <w:p w14:paraId="25BAD9DA" w14:textId="77777777" w:rsidR="00D34891" w:rsidRPr="00D34891" w:rsidRDefault="00D34891" w:rsidP="00D34891">
      <w:pPr>
        <w:shd w:val="clear" w:color="auto" w:fill="FFFFFF"/>
        <w:spacing w:line="240" w:lineRule="auto"/>
        <w:ind w:firstLine="480"/>
        <w:jc w:val="both"/>
        <w:rPr>
          <w:rFonts w:ascii="Helvetica" w:eastAsia="Times New Roman" w:hAnsi="Helvetica" w:cs="Helvetica"/>
          <w:color w:val="707070"/>
          <w:szCs w:val="24"/>
          <w:lang w:eastAsia="pt-BR"/>
        </w:rPr>
      </w:pPr>
      <w:r w:rsidRPr="00D34891">
        <w:rPr>
          <w:rFonts w:ascii="Helvetica" w:eastAsia="Times New Roman" w:hAnsi="Helvetica" w:cs="Helvetica"/>
          <w:b/>
          <w:bCs/>
          <w:color w:val="707070"/>
          <w:szCs w:val="24"/>
          <w:lang w:eastAsia="pt-BR"/>
        </w:rPr>
        <w:t>Decisão: </w:t>
      </w:r>
      <w:r w:rsidRPr="00D34891">
        <w:rPr>
          <w:rFonts w:ascii="Helvetica" w:eastAsia="Times New Roman" w:hAnsi="Helvetica" w:cs="Helvetica"/>
          <w:color w:val="707070"/>
          <w:szCs w:val="24"/>
          <w:lang w:eastAsia="pt-BR"/>
        </w:rPr>
        <w:t>O Tribunal, por unanimidade e nos termos do voto do relator, deferiu o mandado de injunção. Ausentes, justificadamente, os Senhores Ministros Celso de Mello, Cezar Peluso, Eros Grau e Menezes Direito. Presidiu o julgamento o Senhor Ministro Gilmar Mendes. Plenário, 01.07.2008.</w:t>
      </w:r>
    </w:p>
    <w:p w14:paraId="0C44523F" w14:textId="77777777" w:rsidR="00D34891" w:rsidRPr="00D34891" w:rsidRDefault="00D34891" w:rsidP="00D34891">
      <w:pPr>
        <w:shd w:val="clear" w:color="auto" w:fill="FFFFFF"/>
        <w:spacing w:after="288" w:line="240" w:lineRule="auto"/>
        <w:ind w:firstLine="840"/>
        <w:jc w:val="both"/>
        <w:rPr>
          <w:rFonts w:ascii="Helvetica" w:eastAsia="Times New Roman" w:hAnsi="Helvetica" w:cs="Helvetica"/>
          <w:color w:val="333333"/>
          <w:szCs w:val="24"/>
          <w:lang w:eastAsia="pt-BR"/>
        </w:rPr>
      </w:pPr>
      <w:r w:rsidRPr="00D34891">
        <w:rPr>
          <w:rFonts w:ascii="Helvetica" w:eastAsia="Times New Roman" w:hAnsi="Helvetica" w:cs="Helvetica"/>
          <w:color w:val="333333"/>
          <w:szCs w:val="24"/>
          <w:lang w:eastAsia="pt-BR"/>
        </w:rPr>
        <w:t>Com a proliferação das impetrações de Mandados de Injunção sobre a mesma questão, sobreveio autorização do Plenário do STF no sentido de que os Ministros relatores decidissem definitiva e monocraticamente os casos idênticos.</w:t>
      </w:r>
    </w:p>
    <w:p w14:paraId="3413EA64" w14:textId="77777777" w:rsidR="00D34891" w:rsidRPr="00D34891" w:rsidRDefault="00D34891" w:rsidP="00D34891">
      <w:pPr>
        <w:shd w:val="clear" w:color="auto" w:fill="FFFFFF"/>
        <w:spacing w:after="288" w:line="240" w:lineRule="auto"/>
        <w:ind w:firstLine="840"/>
        <w:jc w:val="both"/>
        <w:rPr>
          <w:rFonts w:ascii="Helvetica" w:eastAsia="Times New Roman" w:hAnsi="Helvetica" w:cs="Helvetica"/>
          <w:color w:val="333333"/>
          <w:szCs w:val="24"/>
          <w:lang w:eastAsia="pt-BR"/>
        </w:rPr>
      </w:pPr>
      <w:r w:rsidRPr="00D34891">
        <w:rPr>
          <w:rFonts w:ascii="Helvetica" w:eastAsia="Times New Roman" w:hAnsi="Helvetica" w:cs="Helvetica"/>
          <w:color w:val="333333"/>
          <w:szCs w:val="24"/>
          <w:lang w:eastAsia="pt-BR"/>
        </w:rPr>
        <w:lastRenderedPageBreak/>
        <w:t>Tal fato culminou agora com a Proposta de edição de Sumula Vinculante PSV 45-8/927, com o seguinte teor:</w:t>
      </w:r>
    </w:p>
    <w:p w14:paraId="7B13DE4F" w14:textId="77777777" w:rsidR="00D34891" w:rsidRPr="00D34891" w:rsidRDefault="00D34891" w:rsidP="00D34891">
      <w:pPr>
        <w:shd w:val="clear" w:color="auto" w:fill="FFFFFF"/>
        <w:spacing w:line="240" w:lineRule="auto"/>
        <w:ind w:firstLine="480"/>
        <w:jc w:val="both"/>
        <w:rPr>
          <w:rFonts w:ascii="Helvetica" w:eastAsia="Times New Roman" w:hAnsi="Helvetica" w:cs="Helvetica"/>
          <w:color w:val="707070"/>
          <w:szCs w:val="24"/>
          <w:lang w:eastAsia="pt-BR"/>
        </w:rPr>
      </w:pPr>
      <w:r w:rsidRPr="00D34891">
        <w:rPr>
          <w:rFonts w:ascii="Helvetica" w:eastAsia="Times New Roman" w:hAnsi="Helvetica" w:cs="Helvetica"/>
          <w:color w:val="707070"/>
          <w:szCs w:val="24"/>
          <w:lang w:eastAsia="pt-BR"/>
        </w:rPr>
        <w:t>“ Enquanto inexistente a disciplina específica sobre aposentadoria especial do servidor público, nos termos do artigo 40 § 4º da Constituição Federal, com redação da Emenda Constitucional n. 47/2005, impõe-se a adoção daquela própria aos trabalhadores em geral (artigo 57, § 1º da Lei n. 8.213/91)”</w:t>
      </w:r>
    </w:p>
    <w:p w14:paraId="444470B0" w14:textId="77777777" w:rsidR="00D34891" w:rsidRPr="00D34891" w:rsidRDefault="00D34891" w:rsidP="00D34891">
      <w:pPr>
        <w:shd w:val="clear" w:color="auto" w:fill="FFFFFF"/>
        <w:spacing w:after="288" w:line="240" w:lineRule="auto"/>
        <w:ind w:firstLine="840"/>
        <w:jc w:val="both"/>
        <w:rPr>
          <w:rFonts w:ascii="Helvetica" w:eastAsia="Times New Roman" w:hAnsi="Helvetica" w:cs="Helvetica"/>
          <w:color w:val="333333"/>
          <w:szCs w:val="24"/>
          <w:lang w:eastAsia="pt-BR"/>
        </w:rPr>
      </w:pPr>
      <w:r w:rsidRPr="00D34891">
        <w:rPr>
          <w:rFonts w:ascii="Helvetica" w:eastAsia="Times New Roman" w:hAnsi="Helvetica" w:cs="Helvetica"/>
          <w:color w:val="333333"/>
          <w:szCs w:val="24"/>
          <w:lang w:eastAsia="pt-BR"/>
        </w:rPr>
        <w:t>Está, portanto, consagrado no Supremo Tribunal Federal que, até que sobrevenha disciplina específica destinada aos servidores públicos, adotam-se para fins de aposentadoria especial os critérios do Regime Geral de Previdência Social – RGPS, em conjunto com as regras próprias dos servidores públicos.</w:t>
      </w:r>
    </w:p>
    <w:p w14:paraId="10A3F0AC" w14:textId="212FD7AC" w:rsidR="0074302C" w:rsidRDefault="00290C1E" w:rsidP="00D34891">
      <w:pPr>
        <w:jc w:val="both"/>
      </w:pPr>
      <w:r>
        <w:t>@@@@@@@@@@@@@</w:t>
      </w:r>
    </w:p>
    <w:p w14:paraId="18069750" w14:textId="77777777" w:rsidR="00290C1E" w:rsidRDefault="00290C1E" w:rsidP="00290C1E">
      <w:pPr>
        <w:pStyle w:val="Ttulo3"/>
        <w:shd w:val="clear" w:color="auto" w:fill="FFFFFF"/>
        <w:spacing w:before="480" w:after="240"/>
        <w:rPr>
          <w:rFonts w:ascii="Arial" w:hAnsi="Arial" w:cs="Arial"/>
          <w:caps/>
          <w:color w:val="468847"/>
          <w:sz w:val="35"/>
          <w:szCs w:val="35"/>
        </w:rPr>
      </w:pPr>
      <w:r>
        <w:rPr>
          <w:rStyle w:val="Forte"/>
          <w:rFonts w:ascii="Arial" w:hAnsi="Arial" w:cs="Arial"/>
          <w:b w:val="0"/>
          <w:bCs w:val="0"/>
          <w:caps/>
          <w:color w:val="468847"/>
          <w:sz w:val="35"/>
          <w:szCs w:val="35"/>
        </w:rPr>
        <w:t>INTRODUÇÃO</w:t>
      </w:r>
    </w:p>
    <w:p w14:paraId="4FE78432" w14:textId="77777777" w:rsidR="00290C1E" w:rsidRDefault="00290C1E" w:rsidP="00290C1E">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O instituto da aposentadoria especial do </w:t>
      </w:r>
      <w:hyperlink r:id="rId15" w:history="1">
        <w:r>
          <w:rPr>
            <w:rStyle w:val="Hyperlink"/>
            <w:rFonts w:ascii="Helvetica" w:hAnsi="Helvetica" w:cs="Helvetica"/>
            <w:color w:val="0C6BD1"/>
          </w:rPr>
          <w:t>servidor público</w:t>
        </w:r>
      </w:hyperlink>
      <w:r>
        <w:rPr>
          <w:rFonts w:ascii="Helvetica" w:hAnsi="Helvetica" w:cs="Helvetica"/>
          <w:color w:val="333333"/>
        </w:rPr>
        <w:t> tem indiscutível relevância, sobretudo, em um ordenamento jurídico cuja norma que lhe empresta validade tem na isonomia um de seus princípios fundamentais. Assim, diante do pleito desesperado de um número alarmante de servidores públicos que, ante a omissão legislativa, socorriam-se do Poder Judiciário a fim de, em sede de Mandado de Injunção, ter assegurado seu </w:t>
      </w:r>
      <w:hyperlink r:id="rId16" w:history="1">
        <w:r>
          <w:rPr>
            <w:rStyle w:val="Hyperlink"/>
            <w:rFonts w:ascii="Helvetica" w:hAnsi="Helvetica" w:cs="Helvetica"/>
            <w:color w:val="0C6BD1"/>
          </w:rPr>
          <w:t>direito constitucional</w:t>
        </w:r>
      </w:hyperlink>
      <w:r>
        <w:rPr>
          <w:rFonts w:ascii="Helvetica" w:hAnsi="Helvetica" w:cs="Helvetica"/>
          <w:color w:val="333333"/>
        </w:rPr>
        <w:t> de usufruir do merecido descanso remunerado, é que surge a </w:t>
      </w:r>
      <w:hyperlink r:id="rId17" w:history="1">
        <w:r>
          <w:rPr>
            <w:rStyle w:val="Hyperlink"/>
            <w:rFonts w:ascii="Helvetica" w:hAnsi="Helvetica" w:cs="Helvetica"/>
            <w:color w:val="0C6BD1"/>
          </w:rPr>
          <w:t>súmula vinculante</w:t>
        </w:r>
      </w:hyperlink>
      <w:r>
        <w:rPr>
          <w:rFonts w:ascii="Helvetica" w:hAnsi="Helvetica" w:cs="Helvetica"/>
          <w:color w:val="333333"/>
        </w:rPr>
        <w:t> nº. 33. Com sua entrada em vigor aquele servidor que exerce atividade insalubre ou perigosa, não mais carecerá provocar o Judiciário com o intuito de aposentar-se na modalidade especial, mesmo ainda inexistindo a Lei Complementar exigida pela Constituição da República. Todavia, não são todas as categorias de servidores públicos as quais poderão invocar o poder vinculante da referida súmula, apenas aquelas as quais exercerem suas atividades nos termos da legislação aplicável conforme determinado pelo verbete mencionado. Além disso, os critérios para a concessão desta modalidade de aposentadoria, são distintos daqueles exigidos para aposentadoria voluntária comum.</w:t>
      </w:r>
    </w:p>
    <w:p w14:paraId="7FC74B7A" w14:textId="77777777" w:rsidR="00290C1E" w:rsidRDefault="00290C1E" w:rsidP="00290C1E">
      <w:pPr>
        <w:spacing w:before="300" w:after="300"/>
        <w:rPr>
          <w:rFonts w:ascii="Times New Roman" w:hAnsi="Times New Roman" w:cs="Times New Roman"/>
        </w:rPr>
      </w:pPr>
      <w:r>
        <w:pict w14:anchorId="4DA55DFB">
          <v:rect id="_x0000_i1025" style="width:0;height:0" o:hralign="center" o:hrstd="t" o:hrnoshade="t" o:hr="t" fillcolor="#333" stroked="f"/>
        </w:pict>
      </w:r>
    </w:p>
    <w:p w14:paraId="1BA774F1" w14:textId="77777777" w:rsidR="00290C1E" w:rsidRDefault="00290C1E" w:rsidP="00290C1E">
      <w:pPr>
        <w:pStyle w:val="Ttulo3"/>
        <w:shd w:val="clear" w:color="auto" w:fill="FFFFFF"/>
        <w:spacing w:before="480" w:after="240"/>
        <w:rPr>
          <w:rFonts w:ascii="Arial" w:hAnsi="Arial" w:cs="Arial"/>
          <w:caps/>
          <w:color w:val="468847"/>
          <w:sz w:val="35"/>
          <w:szCs w:val="35"/>
        </w:rPr>
      </w:pPr>
      <w:r>
        <w:rPr>
          <w:rStyle w:val="Forte"/>
          <w:rFonts w:ascii="Arial" w:hAnsi="Arial" w:cs="Arial"/>
          <w:b w:val="0"/>
          <w:bCs w:val="0"/>
          <w:caps/>
          <w:color w:val="468847"/>
          <w:sz w:val="35"/>
          <w:szCs w:val="35"/>
        </w:rPr>
        <w:t>1. APOSENTADORIA DO SERVIDOR PÚBLICO</w:t>
      </w:r>
    </w:p>
    <w:p w14:paraId="023E1181" w14:textId="77777777" w:rsidR="00290C1E" w:rsidRDefault="00290C1E" w:rsidP="00290C1E">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Certo é que ao tratar da aposentadoria do servidor público, a Constituição da República Federativa do Brasil (CRFB) de 1988 admite tanto a aposentadoria pelo “regime próprio ou peculiar” – reservada somente aos servidores ocupantes de cargos públicos efetivos</w:t>
      </w:r>
      <w:r>
        <w:rPr>
          <w:rStyle w:val="Forte"/>
          <w:rFonts w:ascii="Helvetica" w:hAnsi="Helvetica" w:cs="Helvetica"/>
          <w:color w:val="333333"/>
        </w:rPr>
        <w:t>[1]</w:t>
      </w:r>
      <w:r>
        <w:rPr>
          <w:rFonts w:ascii="Helvetica" w:hAnsi="Helvetica" w:cs="Helvetica"/>
          <w:color w:val="333333"/>
        </w:rPr>
        <w:t> -, quanto a aposentadoria sujeita ao Regime Geral de Previdência Social (RGPS) – reservada aos ocupantes de cargos públicos em comissão, função temporária e emprego público (Art. 40,§ 13, CRFB/88). Neste brevíssimo estudo, trataremos unicamente do regime peculiar previsto no Art. 40, caput, CRFB/88.</w:t>
      </w:r>
    </w:p>
    <w:p w14:paraId="22322E13" w14:textId="77777777" w:rsidR="00290C1E" w:rsidRDefault="00290C1E" w:rsidP="00290C1E">
      <w:pPr>
        <w:pStyle w:val="Ttulo4"/>
        <w:shd w:val="clear" w:color="auto" w:fill="FFFFFF"/>
        <w:spacing w:before="480" w:after="240"/>
        <w:rPr>
          <w:rFonts w:ascii="Arial" w:hAnsi="Arial" w:cs="Arial"/>
          <w:caps/>
          <w:color w:val="468847"/>
          <w:sz w:val="31"/>
          <w:szCs w:val="31"/>
        </w:rPr>
      </w:pPr>
      <w:r>
        <w:rPr>
          <w:rFonts w:ascii="Arial" w:hAnsi="Arial" w:cs="Arial"/>
          <w:b/>
          <w:bCs/>
          <w:caps/>
          <w:color w:val="468847"/>
          <w:sz w:val="31"/>
          <w:szCs w:val="31"/>
        </w:rPr>
        <w:lastRenderedPageBreak/>
        <w:t>1.1. CONCEITO</w:t>
      </w:r>
    </w:p>
    <w:p w14:paraId="7A1E48D2" w14:textId="77777777" w:rsidR="00290C1E" w:rsidRDefault="00290C1E" w:rsidP="00290C1E">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Aposentadoria é a garantia de inatividade remunerada</w:t>
      </w:r>
      <w:r>
        <w:rPr>
          <w:rFonts w:ascii="Helvetica" w:hAnsi="Helvetica" w:cs="Helvetica"/>
          <w:color w:val="333333"/>
          <w:sz w:val="18"/>
          <w:szCs w:val="18"/>
          <w:vertAlign w:val="superscript"/>
        </w:rPr>
        <w:t>[2]</w:t>
      </w:r>
      <w:r>
        <w:rPr>
          <w:rFonts w:ascii="Helvetica" w:hAnsi="Helvetica" w:cs="Helvetica"/>
          <w:color w:val="333333"/>
        </w:rPr>
        <w:t> ao servidor público que atender aos requisitos do regime próprio de caráter contributivo e solidário. Logo, trata-se de regime com características muito peculiares. Na verdade, é nítido o esmero do constituinte em traçar critérios e requisitos mínimos capazes de assegurar a isonomia, a razoabilidade e a valorização devida ao servidor público que ofertou ao Estado sua força de trabalho, fazendo mover a máquina pública, possibilitando a oferta do serviço público ao contribuinte. Por tal razão, fez constar vedação expressa a fim de extirpar do ordenamento jurídico pátrio qualquer tentativa de violação à isonomia (Art. 40, § 4º, CRFB/88). Nada mais razoável e acertado.</w:t>
      </w:r>
    </w:p>
    <w:p w14:paraId="76DCA0CA" w14:textId="77777777" w:rsidR="00290C1E" w:rsidRDefault="00290C1E" w:rsidP="00290C1E">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Todavia, desde Aristóteles, é concebido o primitivo conceito de justiça e igualdade material que destaca a necessidade de se atribuir tratamento igual aos iguais e desigual aos desiguais. Foi neste sentido que o constituinte, por meio da EC/47, realizando uma adequação do Texto Constitucional de 1988, fez constar expressamente em seu Art. 40, § 4º, segunda parte, a importante exceção pela qual é possível, mediante edição de Lei Complementar, a </w:t>
      </w:r>
      <w:hyperlink r:id="rId18" w:history="1">
        <w:r>
          <w:rPr>
            <w:rStyle w:val="Hyperlink"/>
            <w:rFonts w:ascii="Helvetica" w:hAnsi="Helvetica" w:cs="Helvetica"/>
            <w:color w:val="0C6BD1"/>
          </w:rPr>
          <w:t>adoção</w:t>
        </w:r>
      </w:hyperlink>
      <w:r>
        <w:rPr>
          <w:rFonts w:ascii="Helvetica" w:hAnsi="Helvetica" w:cs="Helvetica"/>
          <w:color w:val="333333"/>
        </w:rPr>
        <w:t> de critérios específicos e distintos para a aposentadoria de servidores portadores de deficiência, que exerçam atividades de risco ou </w:t>
      </w:r>
      <w:r>
        <w:rPr>
          <w:rStyle w:val="Forte"/>
          <w:rFonts w:ascii="Helvetica" w:hAnsi="Helvetica" w:cs="Helvetica"/>
          <w:color w:val="333333"/>
        </w:rPr>
        <w:t>cujas atividades sejam exercidas sob condições especiais que prejudiquem a saúde ou a integridade física. </w:t>
      </w:r>
      <w:r>
        <w:rPr>
          <w:rFonts w:ascii="Helvetica" w:hAnsi="Helvetica" w:cs="Helvetica"/>
          <w:color w:val="333333"/>
        </w:rPr>
        <w:t>Esta é a chamada aposentadoria especial da qual passaremos a tratar agora.</w:t>
      </w:r>
    </w:p>
    <w:p w14:paraId="09115302" w14:textId="77777777" w:rsidR="00290C1E" w:rsidRDefault="00290C1E" w:rsidP="00290C1E">
      <w:pPr>
        <w:spacing w:before="300" w:after="300"/>
        <w:rPr>
          <w:rFonts w:ascii="Times New Roman" w:hAnsi="Times New Roman" w:cs="Times New Roman"/>
        </w:rPr>
      </w:pPr>
      <w:r>
        <w:pict w14:anchorId="5C134EB5">
          <v:rect id="_x0000_i1026" style="width:0;height:0" o:hralign="center" o:hrstd="t" o:hrnoshade="t" o:hr="t" fillcolor="#333" stroked="f"/>
        </w:pict>
      </w:r>
    </w:p>
    <w:p w14:paraId="78AA1D4F" w14:textId="77777777" w:rsidR="00290C1E" w:rsidRDefault="00290C1E" w:rsidP="00290C1E">
      <w:pPr>
        <w:pStyle w:val="Ttulo3"/>
        <w:shd w:val="clear" w:color="auto" w:fill="FFFFFF"/>
        <w:spacing w:before="480" w:after="240"/>
        <w:rPr>
          <w:rFonts w:ascii="Arial" w:hAnsi="Arial" w:cs="Arial"/>
          <w:caps/>
          <w:color w:val="468847"/>
          <w:sz w:val="35"/>
          <w:szCs w:val="35"/>
        </w:rPr>
      </w:pPr>
      <w:r>
        <w:rPr>
          <w:rStyle w:val="Forte"/>
          <w:rFonts w:ascii="Arial" w:hAnsi="Arial" w:cs="Arial"/>
          <w:b w:val="0"/>
          <w:bCs w:val="0"/>
          <w:caps/>
          <w:color w:val="468847"/>
          <w:sz w:val="35"/>
          <w:szCs w:val="35"/>
        </w:rPr>
        <w:t>2. APOSENTADORIA ESPECIAL</w:t>
      </w:r>
    </w:p>
    <w:p w14:paraId="313358A2" w14:textId="77777777" w:rsidR="00290C1E" w:rsidRDefault="00290C1E" w:rsidP="00290C1E">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Esta modalidade de aposentadoria do servidor público é especial justamente por abranger unicamente certas categorias de operários estatais cujas atividades ou condições pessoais, demandam, por si só, tratamento diferenciado sob pena de deplorável ofensa à isonomia. Dentre estas categorias, estão aquelas previstas no Art. 40, § 4, III, da CRFB/88, cujas atividades são exercidas sob condições que prejudicam à saúde ou à integridade física.</w:t>
      </w:r>
    </w:p>
    <w:p w14:paraId="19DC1F49" w14:textId="77777777" w:rsidR="00290C1E" w:rsidRDefault="00290C1E" w:rsidP="00290C1E">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Desta forma, a fim de assegurar tratamento isonômico a estas categorias, haja vista não ser razoável e justo exigir delas a exposição direta a agentes de altíssimo risco sem que de alguma forma lhes fosse compensado esse desequilíbrio, criou-se a possibilidade de se estabelecer, por Lei Complementar, critérios diferenciadores a fim de que pudessem usufruir de uma aposentadoria com tempo de serviço menor, reduzindo, assim, o tempo de exposição destes servidores aos agentes de risco.</w:t>
      </w:r>
    </w:p>
    <w:p w14:paraId="2CA90498" w14:textId="77777777" w:rsidR="00290C1E" w:rsidRDefault="00290C1E" w:rsidP="00290C1E">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 xml:space="preserve">Entretanto, como as tais Leis Complementares nunca foram editadas, a única alternativa aos servidores públicos sempre foi a de buscar socorro junto ao Poder Judiciário. O Supremo Tribunal Federal, por sua vez, como intérprete </w:t>
      </w:r>
      <w:r>
        <w:rPr>
          <w:rFonts w:ascii="Helvetica" w:hAnsi="Helvetica" w:cs="Helvetica"/>
          <w:color w:val="333333"/>
        </w:rPr>
        <w:lastRenderedPageBreak/>
        <w:t>máximo da Constituição, já vinha reconhecendo há certo tempo em sede de Mandado de Injunção (MI) o direito dos servidores públicos (federais, estaduais, distritais e municipais) à aposentadoria especial, aplicando por analogia o Art. 57 da Lei 8.213/1991</w:t>
      </w:r>
      <w:r>
        <w:rPr>
          <w:rFonts w:ascii="Helvetica" w:hAnsi="Helvetica" w:cs="Helvetica"/>
          <w:color w:val="333333"/>
          <w:sz w:val="18"/>
          <w:szCs w:val="18"/>
          <w:vertAlign w:val="superscript"/>
        </w:rPr>
        <w:t>[3]</w:t>
      </w:r>
      <w:r>
        <w:rPr>
          <w:rFonts w:ascii="Helvetica" w:hAnsi="Helvetica" w:cs="Helvetica"/>
          <w:color w:val="333333"/>
        </w:rPr>
        <w:t> (MI 721/DF, rel. Min. Marco Aurélio, 30.08.2007. No mesmo Sentido, dentre muitos outros; ARE-AgR 727.5431/MS, rel. Min. Marco Aurélio, 09.04.2013).</w:t>
      </w:r>
    </w:p>
    <w:p w14:paraId="6B220339" w14:textId="77777777" w:rsidR="00290C1E" w:rsidRDefault="00290C1E" w:rsidP="00290C1E">
      <w:pPr>
        <w:pStyle w:val="Ttulo4"/>
        <w:shd w:val="clear" w:color="auto" w:fill="FFFFFF"/>
        <w:spacing w:before="480" w:after="240"/>
        <w:rPr>
          <w:rFonts w:ascii="Arial" w:hAnsi="Arial" w:cs="Arial"/>
          <w:caps/>
          <w:color w:val="468847"/>
          <w:sz w:val="31"/>
          <w:szCs w:val="31"/>
        </w:rPr>
      </w:pPr>
      <w:r>
        <w:rPr>
          <w:rFonts w:ascii="Arial" w:hAnsi="Arial" w:cs="Arial"/>
          <w:b/>
          <w:bCs/>
          <w:caps/>
          <w:color w:val="468847"/>
          <w:sz w:val="31"/>
          <w:szCs w:val="31"/>
        </w:rPr>
        <w:t>2.1. SÚMULA VINCULANTE 33</w:t>
      </w:r>
    </w:p>
    <w:p w14:paraId="12E290E7" w14:textId="77777777" w:rsidR="00290C1E" w:rsidRDefault="00290C1E" w:rsidP="00290C1E">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Mais recentemente (09/04/2014), o Supremo Tribunal Federal, dada à quantidade alarmante de Mandados de Injunção - 4.892, segundo levantamento feito pelo Ministro do Supremo Tribunal Federal Teori Zavascki - tratando do tema, editou e publicou em 24/04/2014 a importante súmula vinculante nº. 33, a qual consolidou definitivamente o seu entendimento acerca do tema. In verbis:</w:t>
      </w:r>
    </w:p>
    <w:p w14:paraId="18DDB6AD" w14:textId="77777777" w:rsidR="00290C1E" w:rsidRDefault="00290C1E" w:rsidP="00290C1E">
      <w:pPr>
        <w:pStyle w:val="NormalWeb"/>
        <w:shd w:val="clear" w:color="auto" w:fill="FFFFFF"/>
        <w:spacing w:before="0" w:beforeAutospacing="0" w:after="288" w:afterAutospacing="0"/>
        <w:ind w:firstLine="480"/>
        <w:rPr>
          <w:rFonts w:ascii="Helvetica" w:hAnsi="Helvetica" w:cs="Helvetica"/>
          <w:color w:val="707070"/>
        </w:rPr>
      </w:pPr>
      <w:r>
        <w:rPr>
          <w:rStyle w:val="Forte"/>
          <w:rFonts w:ascii="Helvetica" w:hAnsi="Helvetica" w:cs="Helvetica"/>
          <w:color w:val="707070"/>
        </w:rPr>
        <w:t>Súmula Vinculante nº 33</w:t>
      </w:r>
    </w:p>
    <w:p w14:paraId="0CB5CCA3" w14:textId="77777777" w:rsidR="00290C1E" w:rsidRDefault="00290C1E" w:rsidP="00290C1E">
      <w:pPr>
        <w:pStyle w:val="NormalWeb"/>
        <w:shd w:val="clear" w:color="auto" w:fill="FFFFFF"/>
        <w:spacing w:before="0" w:beforeAutospacing="0" w:after="192" w:afterAutospacing="0"/>
        <w:ind w:firstLine="480"/>
        <w:rPr>
          <w:rFonts w:ascii="Helvetica" w:hAnsi="Helvetica" w:cs="Helvetica"/>
          <w:color w:val="707070"/>
        </w:rPr>
      </w:pPr>
      <w:r>
        <w:rPr>
          <w:rFonts w:ascii="Helvetica" w:hAnsi="Helvetica" w:cs="Helvetica"/>
          <w:color w:val="707070"/>
        </w:rPr>
        <w:t>“Aplicam-se ao servidor público, no que couber, as regras do regime geral da previdência social sobre aposentadoria especial de que trata o artigo 40, § 4º, inciso III da Constituição Federal, até a edição de lei complementar específica.”</w:t>
      </w:r>
    </w:p>
    <w:p w14:paraId="35784F20" w14:textId="77777777" w:rsidR="00290C1E" w:rsidRDefault="00290C1E" w:rsidP="00290C1E">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Com a edição da referida súmula pelo Supremo, cuja força vinculante alcança todos os demais órgãos do Poder Judiciário e a Administração Pública direita e indireta (Art. 103-A, caput, CRFB/88), fica assegurada a aposentadoria especial a todos os servidores públicos que </w:t>
      </w:r>
      <w:r>
        <w:rPr>
          <w:rStyle w:val="Forte"/>
          <w:rFonts w:ascii="Helvetica" w:hAnsi="Helvetica" w:cs="Helvetica"/>
          <w:color w:val="333333"/>
        </w:rPr>
        <w:t>tiverem trabalhado sujeitos a condições que prejudiquem a saúde ou a integridade física, durante 25 anos.</w:t>
      </w:r>
    </w:p>
    <w:p w14:paraId="63804428" w14:textId="77777777" w:rsidR="00290C1E" w:rsidRDefault="00290C1E" w:rsidP="00290C1E">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Portanto, a partir do dia 24/04/2014, absolutamente todos os servidores públicos cujas atividades forem perigosas ou insalubres, deverão – exatamente isso, trata-se de dever da Administração Pública federal, distrital, estadual e municipal -, atingidos 25 anos de efetivo exercício da respectiva atividade, aposentar o servidor público sob o regime especial.</w:t>
      </w:r>
    </w:p>
    <w:p w14:paraId="4AC3A1F3" w14:textId="77777777" w:rsidR="00290C1E" w:rsidRDefault="00290C1E" w:rsidP="00290C1E">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2.2. Tempo de Contribuição ou Tempo de Serviço?</w:t>
      </w:r>
    </w:p>
    <w:p w14:paraId="4E28C4F0" w14:textId="77777777" w:rsidR="00290C1E" w:rsidRDefault="00290C1E" w:rsidP="00290C1E">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 xml:space="preserve">Vale ressaltar que, em se tratando de aposentadoria especial, não há se falar em tempo de contribuição como critério precípuo para o reconhecimento de tal direito. Afinal, se o objetivo desta modalidade de aposentadoria é afastar precocemente o servidor do contato com os agentes de risco comprometedores de sua saúde ou integridade física, objetivando reduzir a dimensão dos danos sofridos por ele, qual seria o sentido de exigir outro senão o requisito de 25 anos de tempo de serviço na respectiva atividade? Logo, ao completar exatos 25 anos de exposição aos agentes de risco, independentemente do tempo de contribuição ou mesmo de idade mínima, fará jus o servidor público à aposentadoria especial. Isso se deve em virtude da necessária ponderação de valores constitucionais realizada entre o </w:t>
      </w:r>
      <w:r>
        <w:rPr>
          <w:rFonts w:ascii="Helvetica" w:hAnsi="Helvetica" w:cs="Helvetica"/>
          <w:color w:val="333333"/>
        </w:rPr>
        <w:lastRenderedPageBreak/>
        <w:t>equilíbrio e sustentabilidade do sistema previdenciário e a vida, saúde, integridade física e psicológica do servidor. Neste conflito, não restam dúvidas o acerto em se fazer preponderar a vida e a saúde.</w:t>
      </w:r>
    </w:p>
    <w:p w14:paraId="0D1806FA" w14:textId="77777777" w:rsidR="00290C1E" w:rsidRDefault="00290C1E" w:rsidP="00290C1E">
      <w:pPr>
        <w:spacing w:before="300" w:after="300"/>
        <w:rPr>
          <w:rFonts w:ascii="Times New Roman" w:hAnsi="Times New Roman" w:cs="Times New Roman"/>
        </w:rPr>
      </w:pPr>
      <w:r>
        <w:pict w14:anchorId="6BBF5E80">
          <v:rect id="_x0000_i1027" style="width:0;height:0" o:hralign="center" o:hrstd="t" o:hrnoshade="t" o:hr="t" fillcolor="#333" stroked="f"/>
        </w:pict>
      </w:r>
    </w:p>
    <w:p w14:paraId="6DD06BDA" w14:textId="77777777" w:rsidR="00290C1E" w:rsidRDefault="00290C1E" w:rsidP="00290C1E">
      <w:pPr>
        <w:pStyle w:val="Ttulo3"/>
        <w:shd w:val="clear" w:color="auto" w:fill="FFFFFF"/>
        <w:spacing w:before="480" w:after="240"/>
        <w:rPr>
          <w:rFonts w:ascii="Arial" w:hAnsi="Arial" w:cs="Arial"/>
          <w:caps/>
          <w:color w:val="468847"/>
          <w:sz w:val="35"/>
          <w:szCs w:val="35"/>
        </w:rPr>
      </w:pPr>
      <w:r>
        <w:rPr>
          <w:rStyle w:val="Forte"/>
          <w:rFonts w:ascii="Arial" w:hAnsi="Arial" w:cs="Arial"/>
          <w:b w:val="0"/>
          <w:bCs w:val="0"/>
          <w:caps/>
          <w:color w:val="468847"/>
          <w:sz w:val="35"/>
          <w:szCs w:val="35"/>
        </w:rPr>
        <w:t>3. QUEM TEM DIREITO À APOSENTADORIA AOS 25 ANOS</w:t>
      </w:r>
    </w:p>
    <w:p w14:paraId="6FC66B86" w14:textId="77777777" w:rsidR="00290C1E" w:rsidRDefault="00290C1E" w:rsidP="00290C1E">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Citando um dos maiores constitucionalista pátrios, José Afonso da Silva, a Ministra Cármen Lúcia do Supremo Tribunal Federal, explica que “’Insalubres’ são atividades que submetem seu exercente a permanente risco de contrair moléstias profissionais. ‘Perigosas’, quando o servidor, por suas atribuições, fica sujeito, no seu exercício, a permanente situação de risco de vida – como certas atividades policiais.” (MI 795-1/DF, rel. Min. Cármen Lúcia, 15/04/2009).</w:t>
      </w:r>
    </w:p>
    <w:p w14:paraId="2A17F216" w14:textId="77777777" w:rsidR="00290C1E" w:rsidRDefault="00290C1E" w:rsidP="00290C1E">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Portanto, não restam dúvidas, atividades como as de médicos, enfermeiros, bombeiros ou as que, de modo geral, </w:t>
      </w:r>
      <w:r>
        <w:rPr>
          <w:rStyle w:val="Forte"/>
          <w:rFonts w:ascii="Helvetica" w:hAnsi="Helvetica" w:cs="Helvetica"/>
          <w:color w:val="333333"/>
        </w:rPr>
        <w:t>exponham o servidor público a constante risco de contração de doenças e moléstias relacionadas ao exercício da atividade</w:t>
      </w:r>
      <w:r>
        <w:rPr>
          <w:rFonts w:ascii="Helvetica" w:hAnsi="Helvetica" w:cs="Helvetica"/>
          <w:color w:val="333333"/>
        </w:rPr>
        <w:t>, devem ser consideradas insalubres. De outro lado, as atividades como as policiais (polícia civil, militar, federal, rodoviária federal etc.), as de motoristas em grandes centros, ou </w:t>
      </w:r>
      <w:r>
        <w:rPr>
          <w:rStyle w:val="Forte"/>
          <w:rFonts w:ascii="Helvetica" w:hAnsi="Helvetica" w:cs="Helvetica"/>
          <w:color w:val="333333"/>
        </w:rPr>
        <w:t>as que, de alguma forma, sujeite o servidor, durante o seu exercício, ao risco de perda da própria vida ou comprometimento de sua integridade física,</w:t>
      </w:r>
      <w:r>
        <w:rPr>
          <w:rFonts w:ascii="Helvetica" w:hAnsi="Helvetica" w:cs="Helvetica"/>
          <w:color w:val="333333"/>
        </w:rPr>
        <w:t> deverão ser havidas como perigosas. Fazendo jus, assim, à aposentadoria especial aos 25 anos de serviço na respectiva atividade.</w:t>
      </w:r>
    </w:p>
    <w:p w14:paraId="73AEF9F3" w14:textId="77777777" w:rsidR="00290C1E" w:rsidRDefault="00290C1E" w:rsidP="00290C1E">
      <w:pPr>
        <w:spacing w:before="300" w:after="300"/>
        <w:rPr>
          <w:rFonts w:ascii="Times New Roman" w:hAnsi="Times New Roman" w:cs="Times New Roman"/>
        </w:rPr>
      </w:pPr>
      <w:r>
        <w:pict w14:anchorId="27995228">
          <v:rect id="_x0000_i1028" style="width:0;height:0" o:hralign="center" o:hrstd="t" o:hrnoshade="t" o:hr="t" fillcolor="#333" stroked="f"/>
        </w:pict>
      </w:r>
    </w:p>
    <w:p w14:paraId="1AB7D5D1" w14:textId="77777777" w:rsidR="00290C1E" w:rsidRDefault="00290C1E" w:rsidP="00290C1E">
      <w:pPr>
        <w:pStyle w:val="Ttulo3"/>
        <w:shd w:val="clear" w:color="auto" w:fill="FFFFFF"/>
        <w:spacing w:before="480" w:after="240"/>
        <w:rPr>
          <w:rFonts w:ascii="Arial" w:hAnsi="Arial" w:cs="Arial"/>
          <w:caps/>
          <w:color w:val="468847"/>
          <w:sz w:val="35"/>
          <w:szCs w:val="35"/>
        </w:rPr>
      </w:pPr>
      <w:r>
        <w:rPr>
          <w:rStyle w:val="Forte"/>
          <w:rFonts w:ascii="Arial" w:hAnsi="Arial" w:cs="Arial"/>
          <w:b w:val="0"/>
          <w:bCs w:val="0"/>
          <w:caps/>
          <w:color w:val="468847"/>
          <w:sz w:val="35"/>
          <w:szCs w:val="35"/>
        </w:rPr>
        <w:t>4. POLICIAIS E BOMBEIROS MILITARES TEM DIREITO?</w:t>
      </w:r>
    </w:p>
    <w:p w14:paraId="19927431" w14:textId="77777777" w:rsidR="00290C1E" w:rsidRDefault="00290C1E" w:rsidP="00290C1E">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Os policiais e Bombeiros Militares são considerados categoria especial de servidores públicos, sujeitos a regras, normas e princípios próprios (Art. 42, CRFB/88). Por esta razão, não estão sujeito necessariamente à aposentadoria nos mesmos moldes que o servidor público civil. Logo, fala-se em transferência do militar à inatividade. No Estado do Tocantins, p. exemplo, a Lei 2.578/12 trata dos critérios de transferência voluntária do militar tocantinense para a reserva remunerada (Art. 122) aos 30 anos de contribuição, se homem, e 25 anos, se mulher, nesta condição permanecendo e podendo retornar, voluntariamente, ao serviço ativo se convocado. Bem como, dos critérios para a transferência definitiva e compulsória para a inatividade, hipótese em que ocorrerá a reforma (Art. 125).</w:t>
      </w:r>
    </w:p>
    <w:p w14:paraId="2280374C" w14:textId="77777777" w:rsidR="00290C1E" w:rsidRDefault="00290C1E" w:rsidP="00290C1E">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lastRenderedPageBreak/>
        <w:t>Entretanto, a já mencionada lei ordinária, editada em consonância com os Arts 42, § 1º c/c Art. 142, § 3º, X, CRFB/88, é silente quanto à possibilidade de transferência especial à inatividade dos militares tocantinenses. Compreensível até certo ponto, por não se tratar de Lei Complementar como exige a CRFB/88. Logo, somente as policiais e bombeiros femininas podem, ao completarem 25 anos de contribuição, transferirem-se para a inatividade, seja na modalidade de reserva remunerada ou na de reforma.</w:t>
      </w:r>
    </w:p>
    <w:p w14:paraId="2BD61AA1" w14:textId="77777777" w:rsidR="00290C1E" w:rsidRDefault="00290C1E" w:rsidP="00290C1E">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Porém, com a entrada em vigor da Súmula Vinculante 33, não restam dúvidas que todos os militares bombeiros ou policiais, em virtude da natureza das atividades exercidas por eles, fazem jus à transferência à inatividade aos 25 anos de serviço. Os primeiros por exercerem atividade na qual o risco de contágio de moléstias e doenças é iminente e, por também, estarem sujeitos ao risco de morte. Os segundos, por terem como atividade precípua a oferta de policiamento ostensivo a fim de manter a ordem pública, o que, por si só, já indica o risco constante ao qual está sujeito sua integridade física e muitas vezes, sua própria vida, sobretudo, quando se é agente de segurança pública em um dos países mais violentos das Américas, bem como, por também estarem sujeitos à contração de moléstias profissionais, e como são abundantes os casos nesse sentido.</w:t>
      </w:r>
    </w:p>
    <w:p w14:paraId="4FC858EC" w14:textId="77777777" w:rsidR="00290C1E" w:rsidRDefault="00290C1E" w:rsidP="00290C1E">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Ademais, negar-lhes a transferência à inatividade aos 25 anos de serviço sob o argumento de que são uma categoria especial com regimento próprio, não sendo alcançados por tal direito, portanto, seria realizar supressão inadmissível a qual não foi perpetrada pelo constituinte e muito menos poderá sê-lo pelos gestores, ou pelo legislador infraconstitucional. Ora, já não bastam as várias supressões efetivadas pelo próprio constituinte em desfavor dos militares</w:t>
      </w:r>
      <w:r>
        <w:rPr>
          <w:rFonts w:ascii="Helvetica" w:hAnsi="Helvetica" w:cs="Helvetica"/>
          <w:color w:val="333333"/>
          <w:sz w:val="18"/>
          <w:szCs w:val="18"/>
          <w:vertAlign w:val="superscript"/>
        </w:rPr>
        <w:t>[4]</w:t>
      </w:r>
      <w:r>
        <w:rPr>
          <w:rFonts w:ascii="Helvetica" w:hAnsi="Helvetica" w:cs="Helvetica"/>
          <w:color w:val="333333"/>
        </w:rPr>
        <w:t>, agora, admitir mais esta, configurando afronta letal à isonomia entre estes e os servidores civis que também exerçam atividades insalubres e perigosas, não seria razoável ou consentâneo com o desejo do constituinte que reservou à legislação infraconstitucional a prerrogativa de regulamentar a transferência do militar à inatividade, sem, contudo, autorizar o legislador a realizar supressões não previstas no próprio Texto Maior. Destarte, não devem prosperar tais argumentos contrários à transferência à inatividade dos militares aos 25 anos de serviço, sob pena de inegável ofensa ao Texto Constitucional.</w:t>
      </w:r>
    </w:p>
    <w:p w14:paraId="540825AF" w14:textId="77777777" w:rsidR="00290C1E" w:rsidRDefault="00290C1E" w:rsidP="00290C1E">
      <w:pPr>
        <w:spacing w:before="300" w:after="300"/>
        <w:rPr>
          <w:rFonts w:ascii="Times New Roman" w:hAnsi="Times New Roman" w:cs="Times New Roman"/>
        </w:rPr>
      </w:pPr>
      <w:r>
        <w:pict w14:anchorId="3FF19389">
          <v:rect id="_x0000_i1029" style="width:0;height:0" o:hralign="center" o:hrstd="t" o:hrnoshade="t" o:hr="t" fillcolor="#333" stroked="f"/>
        </w:pict>
      </w:r>
    </w:p>
    <w:p w14:paraId="579A7D25" w14:textId="77777777" w:rsidR="00290C1E" w:rsidRDefault="00290C1E" w:rsidP="00290C1E">
      <w:pPr>
        <w:pStyle w:val="Ttulo3"/>
        <w:shd w:val="clear" w:color="auto" w:fill="FFFFFF"/>
        <w:spacing w:before="480" w:after="240"/>
        <w:rPr>
          <w:rFonts w:ascii="Arial" w:hAnsi="Arial" w:cs="Arial"/>
          <w:caps/>
          <w:color w:val="468847"/>
          <w:sz w:val="35"/>
          <w:szCs w:val="35"/>
        </w:rPr>
      </w:pPr>
      <w:r>
        <w:rPr>
          <w:rStyle w:val="Forte"/>
          <w:rFonts w:ascii="Arial" w:hAnsi="Arial" w:cs="Arial"/>
          <w:b w:val="0"/>
          <w:bCs w:val="0"/>
          <w:caps/>
          <w:color w:val="468847"/>
          <w:sz w:val="35"/>
          <w:szCs w:val="35"/>
        </w:rPr>
        <w:t>5. CONCLUSÕES</w:t>
      </w:r>
    </w:p>
    <w:p w14:paraId="5CBFD4B9" w14:textId="77777777" w:rsidR="00290C1E" w:rsidRDefault="00290C1E" w:rsidP="00290C1E">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 xml:space="preserve">Não obstante, não se tratar das tão esperadas Leis Complementares exigidas pelo Art. 40, § 4º, III da CRFB/88, a Súmula Vinculante 33 veio concretizar um direito indiscutível de todos os servidores públicos cuja integridade física e a vida ou a saúde estavam comprometidas em virtude das atividades profissionais por eles exercidas. Agora, não poderá mais a Administração Pública indeferir a aposentadoria especial ou a transferência especial à inatividade alegando a inexistência de lei regulamentadora. Com a entrada em vigor da supramencionada súmula vinculante, a Administração direta e indireta é obrigada a reconhecer a aposentadoria especial. Para tanto, </w:t>
      </w:r>
      <w:r>
        <w:rPr>
          <w:rFonts w:ascii="Helvetica" w:hAnsi="Helvetica" w:cs="Helvetica"/>
          <w:color w:val="333333"/>
        </w:rPr>
        <w:lastRenderedPageBreak/>
        <w:t>basta ao servidor na iminência de completar 25 anos de serviço, pleitear </w:t>
      </w:r>
      <w:r>
        <w:rPr>
          <w:rStyle w:val="Forte"/>
          <w:rFonts w:ascii="Helvetica" w:hAnsi="Helvetica" w:cs="Helvetica"/>
          <w:color w:val="333333"/>
        </w:rPr>
        <w:t>administrativamente</w:t>
      </w:r>
      <w:r>
        <w:rPr>
          <w:rFonts w:ascii="Helvetica" w:hAnsi="Helvetica" w:cs="Helvetica"/>
          <w:color w:val="333333"/>
        </w:rPr>
        <w:t> o reconhecimento de seu direito. Contudo, caso seja negado ou, de alguma forma, descumprida a súmula em questão, caberá </w:t>
      </w:r>
      <w:r>
        <w:rPr>
          <w:rStyle w:val="Forte"/>
          <w:rFonts w:ascii="Helvetica" w:hAnsi="Helvetica" w:cs="Helvetica"/>
          <w:color w:val="333333"/>
        </w:rPr>
        <w:t>reclamação </w:t>
      </w:r>
      <w:r>
        <w:rPr>
          <w:rFonts w:ascii="Helvetica" w:hAnsi="Helvetica" w:cs="Helvetica"/>
          <w:color w:val="333333"/>
        </w:rPr>
        <w:t>diretamente ao STF, nos termos do Art. 103-A, § 3º da CRFB/88 e do Art. 7º da Lei 11.417/2006.</w:t>
      </w:r>
    </w:p>
    <w:p w14:paraId="4650A6B5" w14:textId="77777777" w:rsidR="00290C1E" w:rsidRDefault="00290C1E" w:rsidP="00290C1E">
      <w:pPr>
        <w:spacing w:before="300" w:after="300"/>
        <w:rPr>
          <w:rFonts w:ascii="Times New Roman" w:hAnsi="Times New Roman" w:cs="Times New Roman"/>
        </w:rPr>
      </w:pPr>
      <w:r>
        <w:pict w14:anchorId="31B5C1CB">
          <v:rect id="_x0000_i1030" style="width:0;height:0" o:hralign="center" o:hrstd="t" o:hrnoshade="t" o:hr="t" fillcolor="#333" stroked="f"/>
        </w:pict>
      </w:r>
    </w:p>
    <w:p w14:paraId="1F183E01" w14:textId="77777777" w:rsidR="00290C1E" w:rsidRDefault="00290C1E" w:rsidP="00290C1E">
      <w:pPr>
        <w:pStyle w:val="Ttulo3"/>
        <w:shd w:val="clear" w:color="auto" w:fill="FFFFFF"/>
        <w:spacing w:before="480" w:after="240"/>
        <w:rPr>
          <w:rFonts w:ascii="Arial" w:hAnsi="Arial" w:cs="Arial"/>
          <w:caps/>
          <w:color w:val="468847"/>
          <w:sz w:val="35"/>
          <w:szCs w:val="35"/>
        </w:rPr>
      </w:pPr>
      <w:r>
        <w:rPr>
          <w:rStyle w:val="Forte"/>
          <w:rFonts w:ascii="Arial" w:hAnsi="Arial" w:cs="Arial"/>
          <w:b w:val="0"/>
          <w:bCs w:val="0"/>
          <w:caps/>
          <w:color w:val="468847"/>
          <w:sz w:val="35"/>
          <w:szCs w:val="35"/>
        </w:rPr>
        <w:t>6. REFERÊNCIAS BIBLIOGRÁFICAS</w:t>
      </w:r>
    </w:p>
    <w:p w14:paraId="000F7473" w14:textId="77777777" w:rsidR="00290C1E" w:rsidRDefault="00290C1E" w:rsidP="00290C1E">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ALEXANDRINO, Marcelo. PAULO, Vicente. </w:t>
      </w:r>
      <w:hyperlink r:id="rId19" w:history="1">
        <w:r>
          <w:rPr>
            <w:rStyle w:val="Hyperlink"/>
            <w:rFonts w:ascii="Helvetica" w:hAnsi="Helvetica" w:cs="Helvetica"/>
            <w:color w:val="0C6BD1"/>
          </w:rPr>
          <w:t>Direito Administrativo</w:t>
        </w:r>
      </w:hyperlink>
      <w:r>
        <w:rPr>
          <w:rFonts w:ascii="Helvetica" w:hAnsi="Helvetica" w:cs="Helvetica"/>
          <w:color w:val="333333"/>
        </w:rPr>
        <w:t> Descomplicado - 22ª ed., rev., Atual. e Ampl.  São Paulo: Método, 2014</w:t>
      </w:r>
    </w:p>
    <w:p w14:paraId="6BF30936" w14:textId="77777777" w:rsidR="00290C1E" w:rsidRDefault="00290C1E" w:rsidP="00290C1E">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BARBOSA, Márcio. NUNNES, Sérgio. Estatuto PM BM TO Comentado: Artigo por Artigo. Gurupi: Veloso, 2013.</w:t>
      </w:r>
    </w:p>
    <w:p w14:paraId="65B5479D" w14:textId="77777777" w:rsidR="00290C1E" w:rsidRDefault="00290C1E" w:rsidP="00290C1E">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CANOTILHO, J. J. Gomes; MENDES, Gilmar F; SARLET, Ingo W; STRECK, Lenio L. (Coords.). Comentários à Constituição do Brasil. São Paulo: Saraiva/Almedina, 2013.</w:t>
      </w:r>
    </w:p>
    <w:p w14:paraId="76894858" w14:textId="77777777" w:rsidR="00290C1E" w:rsidRDefault="00290C1E" w:rsidP="00290C1E">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MEIRELLES, Hely Lopes. Direito Administrativo Brasileiro – 33ª ed. São Paulo: Malheiros, 2007.</w:t>
      </w:r>
    </w:p>
    <w:p w14:paraId="0BA950E8" w14:textId="77777777" w:rsidR="00290C1E" w:rsidRDefault="00290C1E" w:rsidP="00290C1E">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MARINELA, Fernanda. Direito Administrativo – 5ª ed. rev., ampl., refor. e atual. Niterói: Impetus, 2011.</w:t>
      </w:r>
    </w:p>
    <w:p w14:paraId="79918E59" w14:textId="77777777" w:rsidR="00290C1E" w:rsidRDefault="00290C1E" w:rsidP="00290C1E">
      <w:pPr>
        <w:spacing w:before="300" w:after="300"/>
        <w:rPr>
          <w:rFonts w:ascii="Times New Roman" w:hAnsi="Times New Roman" w:cs="Times New Roman"/>
        </w:rPr>
      </w:pPr>
      <w:r>
        <w:pict w14:anchorId="24D8461D">
          <v:rect id="_x0000_i1031" style="width:0;height:0" o:hralign="center" o:hrstd="t" o:hrnoshade="t" o:hr="t" fillcolor="#333" stroked="f"/>
        </w:pict>
      </w:r>
    </w:p>
    <w:p w14:paraId="600EE3C4" w14:textId="77777777" w:rsidR="00290C1E" w:rsidRDefault="00290C1E" w:rsidP="00290C1E">
      <w:pPr>
        <w:pStyle w:val="Ttulo3"/>
        <w:shd w:val="clear" w:color="auto" w:fill="FFFFFF"/>
        <w:spacing w:before="480" w:after="240"/>
        <w:rPr>
          <w:rFonts w:ascii="Arial" w:hAnsi="Arial" w:cs="Arial"/>
          <w:caps/>
          <w:color w:val="468847"/>
          <w:sz w:val="35"/>
          <w:szCs w:val="35"/>
        </w:rPr>
      </w:pPr>
      <w:r>
        <w:rPr>
          <w:rFonts w:ascii="Arial" w:hAnsi="Arial" w:cs="Arial"/>
          <w:caps/>
          <w:color w:val="468847"/>
          <w:sz w:val="35"/>
          <w:szCs w:val="35"/>
        </w:rPr>
        <w:t>NOTAS</w:t>
      </w:r>
    </w:p>
    <w:p w14:paraId="3644C4B9" w14:textId="77777777" w:rsidR="00290C1E" w:rsidRDefault="00290C1E" w:rsidP="00290C1E">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sz w:val="18"/>
          <w:szCs w:val="18"/>
          <w:vertAlign w:val="superscript"/>
        </w:rPr>
        <w:t>[1]</w:t>
      </w:r>
      <w:r>
        <w:rPr>
          <w:rFonts w:ascii="Helvetica" w:hAnsi="Helvetica" w:cs="Helvetica"/>
          <w:color w:val="333333"/>
        </w:rPr>
        <w:t> Cargo público efetivo – Após citarem Hely Lopes Meirelles, o Major Márcio Barbosa e o Prof. Sérgio Nunnes, concluem em seu livro Estatuto PM/BM/TO Comentado, que cargo público, “em outras palavras, trata-se da menor e mais simples unidade indivisível de competência expressada por um agente público”. (BARBOSA, Márcio. NUNES, Sérgio. Estatuto PM BM TO Comentado: Artigo por Artigo. Gurupi: Veloso, 2013, p. 15). E este cargo será efetivo quando o acesso a ele se der por concurso público (Art. 37, II, CF/88), estando sujeito o seu titular à aquisição da estabilidade, sendo-lhe assegurada a perda do cargo somente, no mínimo, mediante </w:t>
      </w:r>
      <w:hyperlink r:id="rId20" w:history="1">
        <w:r>
          <w:rPr>
            <w:rStyle w:val="Hyperlink"/>
            <w:rFonts w:ascii="Helvetica" w:hAnsi="Helvetica" w:cs="Helvetica"/>
            <w:color w:val="0C6BD1"/>
          </w:rPr>
          <w:t>processo</w:t>
        </w:r>
      </w:hyperlink>
      <w:r>
        <w:rPr>
          <w:rFonts w:ascii="Helvetica" w:hAnsi="Helvetica" w:cs="Helvetica"/>
          <w:color w:val="333333"/>
        </w:rPr>
        <w:t> administrativo em que lhe seja assegurada ampla defesa (Art. 41, CRFB/88).</w:t>
      </w:r>
    </w:p>
    <w:p w14:paraId="073BC3FA" w14:textId="77777777" w:rsidR="00290C1E" w:rsidRDefault="00290C1E" w:rsidP="00290C1E">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sz w:val="18"/>
          <w:szCs w:val="18"/>
          <w:vertAlign w:val="superscript"/>
        </w:rPr>
        <w:t>[2]</w:t>
      </w:r>
      <w:r>
        <w:rPr>
          <w:rFonts w:ascii="Helvetica" w:hAnsi="Helvetica" w:cs="Helvetica"/>
          <w:color w:val="333333"/>
        </w:rPr>
        <w:t> MEIRELLES, Hely Lopes. Direito Administrativo Brasileiro – 33ª ed. São Paulo: Malheiros, 2007, p. 458.</w:t>
      </w:r>
    </w:p>
    <w:p w14:paraId="4371A692" w14:textId="77777777" w:rsidR="00290C1E" w:rsidRDefault="00290C1E" w:rsidP="00D34891">
      <w:pPr>
        <w:jc w:val="both"/>
      </w:pPr>
      <w:bookmarkStart w:id="0" w:name="_GoBack"/>
      <w:bookmarkEnd w:id="0"/>
    </w:p>
    <w:sectPr w:rsidR="00290C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AA7494"/>
    <w:multiLevelType w:val="multilevel"/>
    <w:tmpl w:val="2046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91"/>
    <w:rsid w:val="00290C1E"/>
    <w:rsid w:val="005B7234"/>
    <w:rsid w:val="00C832A1"/>
    <w:rsid w:val="00D34891"/>
    <w:rsid w:val="00F24D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580FB"/>
  <w15:chartTrackingRefBased/>
  <w15:docId w15:val="{883FC69E-0F25-4CA6-989F-F31F4F73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D348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D34891"/>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290C1E"/>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har"/>
    <w:uiPriority w:val="9"/>
    <w:semiHidden/>
    <w:unhideWhenUsed/>
    <w:qFormat/>
    <w:rsid w:val="00290C1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34891"/>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D34891"/>
    <w:rPr>
      <w:rFonts w:ascii="Times New Roman" w:eastAsia="Times New Roman" w:hAnsi="Times New Roman" w:cs="Times New Roman"/>
      <w:b/>
      <w:bCs/>
      <w:sz w:val="36"/>
      <w:szCs w:val="36"/>
      <w:lang w:eastAsia="pt-BR"/>
    </w:rPr>
  </w:style>
  <w:style w:type="paragraph" w:customStyle="1" w:styleId="autor">
    <w:name w:val="autor"/>
    <w:basedOn w:val="Normal"/>
    <w:rsid w:val="00D34891"/>
    <w:pPr>
      <w:spacing w:before="100" w:beforeAutospacing="1" w:after="100" w:afterAutospacing="1" w:line="240" w:lineRule="auto"/>
    </w:pPr>
    <w:rPr>
      <w:rFonts w:ascii="Times New Roman" w:eastAsia="Times New Roman" w:hAnsi="Times New Roman" w:cs="Times New Roman"/>
      <w:szCs w:val="24"/>
      <w:lang w:eastAsia="pt-BR"/>
    </w:rPr>
  </w:style>
  <w:style w:type="character" w:styleId="Hyperlink">
    <w:name w:val="Hyperlink"/>
    <w:basedOn w:val="Fontepargpadro"/>
    <w:uiPriority w:val="99"/>
    <w:semiHidden/>
    <w:unhideWhenUsed/>
    <w:rsid w:val="00D34891"/>
    <w:rPr>
      <w:color w:val="0000FF"/>
      <w:u w:val="single"/>
    </w:rPr>
  </w:style>
  <w:style w:type="paragraph" w:customStyle="1" w:styleId="data">
    <w:name w:val="data"/>
    <w:basedOn w:val="Normal"/>
    <w:rsid w:val="00D34891"/>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desc">
    <w:name w:val="desc"/>
    <w:basedOn w:val="Fontepargpadro"/>
    <w:rsid w:val="00D34891"/>
  </w:style>
  <w:style w:type="paragraph" w:customStyle="1" w:styleId="aa">
    <w:name w:val="aa"/>
    <w:basedOn w:val="Normal"/>
    <w:rsid w:val="00D34891"/>
    <w:pPr>
      <w:spacing w:before="100" w:beforeAutospacing="1" w:after="100" w:afterAutospacing="1" w:line="240" w:lineRule="auto"/>
    </w:pPr>
    <w:rPr>
      <w:rFonts w:ascii="Times New Roman" w:eastAsia="Times New Roman" w:hAnsi="Times New Roman" w:cs="Times New Roman"/>
      <w:szCs w:val="24"/>
      <w:lang w:eastAsia="pt-BR"/>
    </w:rPr>
  </w:style>
  <w:style w:type="paragraph" w:styleId="NormalWeb">
    <w:name w:val="Normal (Web)"/>
    <w:basedOn w:val="Normal"/>
    <w:uiPriority w:val="99"/>
    <w:semiHidden/>
    <w:unhideWhenUsed/>
    <w:rsid w:val="00D34891"/>
    <w:pPr>
      <w:spacing w:before="100" w:beforeAutospacing="1" w:after="100" w:afterAutospacing="1" w:line="240" w:lineRule="auto"/>
    </w:pPr>
    <w:rPr>
      <w:rFonts w:ascii="Times New Roman" w:eastAsia="Times New Roman" w:hAnsi="Times New Roman" w:cs="Times New Roman"/>
      <w:szCs w:val="24"/>
      <w:lang w:eastAsia="pt-BR"/>
    </w:rPr>
  </w:style>
  <w:style w:type="character" w:styleId="Forte">
    <w:name w:val="Strong"/>
    <w:basedOn w:val="Fontepargpadro"/>
    <w:uiPriority w:val="22"/>
    <w:qFormat/>
    <w:rsid w:val="00D34891"/>
    <w:rPr>
      <w:b/>
      <w:bCs/>
    </w:rPr>
  </w:style>
  <w:style w:type="character" w:customStyle="1" w:styleId="Ttulo3Char">
    <w:name w:val="Título 3 Char"/>
    <w:basedOn w:val="Fontepargpadro"/>
    <w:link w:val="Ttulo3"/>
    <w:uiPriority w:val="9"/>
    <w:semiHidden/>
    <w:rsid w:val="00290C1E"/>
    <w:rPr>
      <w:rFonts w:asciiTheme="majorHAnsi" w:eastAsiaTheme="majorEastAsia" w:hAnsiTheme="majorHAnsi" w:cstheme="majorBidi"/>
      <w:color w:val="1F3763" w:themeColor="accent1" w:themeShade="7F"/>
      <w:szCs w:val="24"/>
    </w:rPr>
  </w:style>
  <w:style w:type="character" w:customStyle="1" w:styleId="Ttulo4Char">
    <w:name w:val="Título 4 Char"/>
    <w:basedOn w:val="Fontepargpadro"/>
    <w:link w:val="Ttulo4"/>
    <w:uiPriority w:val="9"/>
    <w:semiHidden/>
    <w:rsid w:val="00290C1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978422">
      <w:bodyDiv w:val="1"/>
      <w:marLeft w:val="0"/>
      <w:marRight w:val="0"/>
      <w:marTop w:val="0"/>
      <w:marBottom w:val="0"/>
      <w:divBdr>
        <w:top w:val="none" w:sz="0" w:space="0" w:color="auto"/>
        <w:left w:val="none" w:sz="0" w:space="0" w:color="auto"/>
        <w:bottom w:val="none" w:sz="0" w:space="0" w:color="auto"/>
        <w:right w:val="none" w:sz="0" w:space="0" w:color="auto"/>
      </w:divBdr>
      <w:divsChild>
        <w:div w:id="1643803340">
          <w:blockQuote w:val="1"/>
          <w:marLeft w:val="0"/>
          <w:marRight w:val="0"/>
          <w:marTop w:val="0"/>
          <w:marBottom w:val="270"/>
          <w:divBdr>
            <w:top w:val="none" w:sz="0" w:space="0" w:color="auto"/>
            <w:left w:val="single" w:sz="36" w:space="14" w:color="9FC7A0"/>
            <w:bottom w:val="none" w:sz="0" w:space="0" w:color="auto"/>
            <w:right w:val="none" w:sz="0" w:space="0" w:color="auto"/>
          </w:divBdr>
        </w:div>
      </w:divsChild>
    </w:div>
    <w:div w:id="1621455144">
      <w:bodyDiv w:val="1"/>
      <w:marLeft w:val="0"/>
      <w:marRight w:val="0"/>
      <w:marTop w:val="0"/>
      <w:marBottom w:val="0"/>
      <w:divBdr>
        <w:top w:val="none" w:sz="0" w:space="0" w:color="auto"/>
        <w:left w:val="none" w:sz="0" w:space="0" w:color="auto"/>
        <w:bottom w:val="none" w:sz="0" w:space="0" w:color="auto"/>
        <w:right w:val="none" w:sz="0" w:space="0" w:color="auto"/>
      </w:divBdr>
      <w:divsChild>
        <w:div w:id="2013726492">
          <w:marLeft w:val="0"/>
          <w:marRight w:val="0"/>
          <w:marTop w:val="0"/>
          <w:marBottom w:val="0"/>
          <w:divBdr>
            <w:top w:val="none" w:sz="0" w:space="0" w:color="auto"/>
            <w:left w:val="none" w:sz="0" w:space="0" w:color="auto"/>
            <w:bottom w:val="none" w:sz="0" w:space="0" w:color="auto"/>
            <w:right w:val="none" w:sz="0" w:space="0" w:color="auto"/>
          </w:divBdr>
          <w:divsChild>
            <w:div w:id="1066342675">
              <w:marLeft w:val="0"/>
              <w:marRight w:val="0"/>
              <w:marTop w:val="0"/>
              <w:marBottom w:val="120"/>
              <w:divBdr>
                <w:top w:val="none" w:sz="0" w:space="0" w:color="auto"/>
                <w:left w:val="none" w:sz="0" w:space="0" w:color="auto"/>
                <w:bottom w:val="none" w:sz="0" w:space="0" w:color="auto"/>
                <w:right w:val="none" w:sz="0" w:space="0" w:color="auto"/>
              </w:divBdr>
              <w:divsChild>
                <w:div w:id="1246110608">
                  <w:marLeft w:val="0"/>
                  <w:marRight w:val="0"/>
                  <w:marTop w:val="0"/>
                  <w:marBottom w:val="0"/>
                  <w:divBdr>
                    <w:top w:val="none" w:sz="0" w:space="0" w:color="auto"/>
                    <w:left w:val="none" w:sz="0" w:space="0" w:color="auto"/>
                    <w:bottom w:val="none" w:sz="0" w:space="0" w:color="auto"/>
                    <w:right w:val="none" w:sz="0" w:space="0" w:color="auto"/>
                  </w:divBdr>
                  <w:divsChild>
                    <w:div w:id="759061045">
                      <w:marLeft w:val="0"/>
                      <w:marRight w:val="0"/>
                      <w:marTop w:val="0"/>
                      <w:marBottom w:val="0"/>
                      <w:divBdr>
                        <w:top w:val="none" w:sz="0" w:space="0" w:color="auto"/>
                        <w:left w:val="none" w:sz="0" w:space="0" w:color="auto"/>
                        <w:bottom w:val="none" w:sz="0" w:space="0" w:color="auto"/>
                        <w:right w:val="none" w:sz="0" w:space="0" w:color="auto"/>
                      </w:divBdr>
                      <w:divsChild>
                        <w:div w:id="1169565885">
                          <w:marLeft w:val="0"/>
                          <w:marRight w:val="0"/>
                          <w:marTop w:val="0"/>
                          <w:marBottom w:val="0"/>
                          <w:divBdr>
                            <w:top w:val="single" w:sz="6" w:space="4" w:color="CCCCCC"/>
                            <w:left w:val="single" w:sz="6" w:space="8" w:color="CCCCCC"/>
                            <w:bottom w:val="single" w:sz="6" w:space="4" w:color="CCCCCC"/>
                            <w:right w:val="single" w:sz="6" w:space="8" w:color="CCCCCC"/>
                          </w:divBdr>
                        </w:div>
                        <w:div w:id="1134799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37885275">
                  <w:marLeft w:val="0"/>
                  <w:marRight w:val="0"/>
                  <w:marTop w:val="300"/>
                  <w:marBottom w:val="0"/>
                  <w:divBdr>
                    <w:top w:val="none" w:sz="0" w:space="0" w:color="auto"/>
                    <w:left w:val="none" w:sz="0" w:space="0" w:color="auto"/>
                    <w:bottom w:val="none" w:sz="0" w:space="0" w:color="auto"/>
                    <w:right w:val="none" w:sz="0" w:space="0" w:color="auto"/>
                  </w:divBdr>
                  <w:divsChild>
                    <w:div w:id="11137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946984">
          <w:marLeft w:val="0"/>
          <w:marRight w:val="0"/>
          <w:marTop w:val="300"/>
          <w:marBottom w:val="0"/>
          <w:divBdr>
            <w:top w:val="none" w:sz="0" w:space="0" w:color="auto"/>
            <w:left w:val="none" w:sz="0" w:space="0" w:color="auto"/>
            <w:bottom w:val="none" w:sz="0" w:space="0" w:color="auto"/>
            <w:right w:val="none" w:sz="0" w:space="0" w:color="auto"/>
          </w:divBdr>
          <w:divsChild>
            <w:div w:id="1163475359">
              <w:marLeft w:val="0"/>
              <w:marRight w:val="0"/>
              <w:marTop w:val="0"/>
              <w:marBottom w:val="600"/>
              <w:divBdr>
                <w:top w:val="single" w:sz="6" w:space="12" w:color="E8E8E8"/>
                <w:left w:val="none" w:sz="0" w:space="0" w:color="auto"/>
                <w:bottom w:val="single" w:sz="6" w:space="12" w:color="E8E8E8"/>
                <w:right w:val="none" w:sz="0" w:space="0" w:color="auto"/>
              </w:divBdr>
            </w:div>
            <w:div w:id="688989989">
              <w:blockQuote w:val="1"/>
              <w:marLeft w:val="0"/>
              <w:marRight w:val="0"/>
              <w:marTop w:val="0"/>
              <w:marBottom w:val="270"/>
              <w:divBdr>
                <w:top w:val="none" w:sz="0" w:space="0" w:color="auto"/>
                <w:left w:val="single" w:sz="36" w:space="14" w:color="9FC7A0"/>
                <w:bottom w:val="none" w:sz="0" w:space="0" w:color="auto"/>
                <w:right w:val="none" w:sz="0" w:space="0" w:color="auto"/>
              </w:divBdr>
            </w:div>
            <w:div w:id="1166475688">
              <w:blockQuote w:val="1"/>
              <w:marLeft w:val="0"/>
              <w:marRight w:val="0"/>
              <w:marTop w:val="0"/>
              <w:marBottom w:val="270"/>
              <w:divBdr>
                <w:top w:val="none" w:sz="0" w:space="0" w:color="auto"/>
                <w:left w:val="single" w:sz="36" w:space="14" w:color="9FC7A0"/>
                <w:bottom w:val="none" w:sz="0" w:space="0" w:color="auto"/>
                <w:right w:val="none" w:sz="0" w:space="0" w:color="auto"/>
              </w:divBdr>
            </w:div>
            <w:div w:id="391389988">
              <w:blockQuote w:val="1"/>
              <w:marLeft w:val="0"/>
              <w:marRight w:val="0"/>
              <w:marTop w:val="0"/>
              <w:marBottom w:val="270"/>
              <w:divBdr>
                <w:top w:val="none" w:sz="0" w:space="0" w:color="auto"/>
                <w:left w:val="single" w:sz="36" w:space="14" w:color="9FC7A0"/>
                <w:bottom w:val="none" w:sz="0" w:space="0" w:color="auto"/>
                <w:right w:val="none" w:sz="0" w:space="0" w:color="auto"/>
              </w:divBdr>
            </w:div>
            <w:div w:id="974258457">
              <w:blockQuote w:val="1"/>
              <w:marLeft w:val="0"/>
              <w:marRight w:val="0"/>
              <w:marTop w:val="0"/>
              <w:marBottom w:val="270"/>
              <w:divBdr>
                <w:top w:val="none" w:sz="0" w:space="0" w:color="auto"/>
                <w:left w:val="single" w:sz="36" w:space="14" w:color="9FC7A0"/>
                <w:bottom w:val="none" w:sz="0" w:space="0" w:color="auto"/>
                <w:right w:val="none" w:sz="0" w:space="0" w:color="auto"/>
              </w:divBdr>
            </w:div>
            <w:div w:id="759763172">
              <w:blockQuote w:val="1"/>
              <w:marLeft w:val="0"/>
              <w:marRight w:val="0"/>
              <w:marTop w:val="0"/>
              <w:marBottom w:val="270"/>
              <w:divBdr>
                <w:top w:val="none" w:sz="0" w:space="0" w:color="auto"/>
                <w:left w:val="single" w:sz="36" w:space="14" w:color="9FC7A0"/>
                <w:bottom w:val="none" w:sz="0" w:space="0" w:color="auto"/>
                <w:right w:val="none" w:sz="0" w:space="0" w:color="auto"/>
              </w:divBdr>
            </w:div>
            <w:div w:id="352924702">
              <w:blockQuote w:val="1"/>
              <w:marLeft w:val="0"/>
              <w:marRight w:val="0"/>
              <w:marTop w:val="0"/>
              <w:marBottom w:val="270"/>
              <w:divBdr>
                <w:top w:val="none" w:sz="0" w:space="0" w:color="auto"/>
                <w:left w:val="single" w:sz="36" w:space="14" w:color="9FC7A0"/>
                <w:bottom w:val="none" w:sz="0" w:space="0" w:color="auto"/>
                <w:right w:val="none" w:sz="0" w:space="0" w:color="auto"/>
              </w:divBdr>
            </w:div>
            <w:div w:id="113448523">
              <w:blockQuote w:val="1"/>
              <w:marLeft w:val="0"/>
              <w:marRight w:val="0"/>
              <w:marTop w:val="0"/>
              <w:marBottom w:val="270"/>
              <w:divBdr>
                <w:top w:val="none" w:sz="0" w:space="0" w:color="auto"/>
                <w:left w:val="single" w:sz="36" w:space="14" w:color="9FC7A0"/>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com.br/artigos/direito-previdenciario" TargetMode="External"/><Relationship Id="rId13" Type="http://schemas.openxmlformats.org/officeDocument/2006/relationships/hyperlink" Target="https://jus.com.br/tudo/aposentadoria-especial" TargetMode="External"/><Relationship Id="rId18" Type="http://schemas.openxmlformats.org/officeDocument/2006/relationships/hyperlink" Target="https://jus.com.br/tudo/adoca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jus.com.br/artigos/direito-do-trabalho" TargetMode="External"/><Relationship Id="rId12" Type="http://schemas.openxmlformats.org/officeDocument/2006/relationships/hyperlink" Target="https://jus.com.br/tudo/adocao" TargetMode="External"/><Relationship Id="rId17" Type="http://schemas.openxmlformats.org/officeDocument/2006/relationships/hyperlink" Target="https://jus.com.br/tudo/sumula-vinculante" TargetMode="External"/><Relationship Id="rId2" Type="http://schemas.openxmlformats.org/officeDocument/2006/relationships/styles" Target="styles.xml"/><Relationship Id="rId16" Type="http://schemas.openxmlformats.org/officeDocument/2006/relationships/hyperlink" Target="https://jus.com.br/tudo/direito-constitucional" TargetMode="External"/><Relationship Id="rId20" Type="http://schemas.openxmlformats.org/officeDocument/2006/relationships/hyperlink" Target="https://jus.com.br/tudo/processo" TargetMode="External"/><Relationship Id="rId1" Type="http://schemas.openxmlformats.org/officeDocument/2006/relationships/numbering" Target="numbering.xml"/><Relationship Id="rId6" Type="http://schemas.openxmlformats.org/officeDocument/2006/relationships/hyperlink" Target="https://jus.com.br/artigos/direito-administrativo" TargetMode="External"/><Relationship Id="rId11" Type="http://schemas.openxmlformats.org/officeDocument/2006/relationships/hyperlink" Target="https://jus.com.br/tudo/servidor-publico" TargetMode="External"/><Relationship Id="rId5" Type="http://schemas.openxmlformats.org/officeDocument/2006/relationships/hyperlink" Target="https://marceloavila.jus.com.br/publicacoes" TargetMode="External"/><Relationship Id="rId15" Type="http://schemas.openxmlformats.org/officeDocument/2006/relationships/hyperlink" Target="https://jus.com.br/tudo/servidor-publico" TargetMode="External"/><Relationship Id="rId10" Type="http://schemas.openxmlformats.org/officeDocument/2006/relationships/hyperlink" Target="https://jus.com.br/tudo/aposentadoria" TargetMode="External"/><Relationship Id="rId19" Type="http://schemas.openxmlformats.org/officeDocument/2006/relationships/hyperlink" Target="https://jus.com.br/tudo/direito-administrativo" TargetMode="External"/><Relationship Id="rId4" Type="http://schemas.openxmlformats.org/officeDocument/2006/relationships/webSettings" Target="webSettings.xml"/><Relationship Id="rId9" Type="http://schemas.openxmlformats.org/officeDocument/2006/relationships/hyperlink" Target="https://jus.com.br/artigos/biodireito" TargetMode="External"/><Relationship Id="rId14" Type="http://schemas.openxmlformats.org/officeDocument/2006/relationships/hyperlink" Target="https://jus.com.br/tudo/processo"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4001</Words>
  <Characters>21606</Characters>
  <Application>Microsoft Office Word</Application>
  <DocSecurity>0</DocSecurity>
  <Lines>180</Lines>
  <Paragraphs>51</Paragraphs>
  <ScaleCrop>false</ScaleCrop>
  <Company/>
  <LinksUpToDate>false</LinksUpToDate>
  <CharactersWithSpaces>25556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tirmi elias</dc:creator>
  <cp:keywords/>
  <dc:description/>
  <cp:lastModifiedBy>tirmi elias</cp:lastModifiedBy>
  <cp:revision>2</cp:revision>
  <dcterms:created xsi:type="dcterms:W3CDTF">2019-07-31T10:30:00Z</dcterms:created>
  <dcterms:modified xsi:type="dcterms:W3CDTF">2019-08-06T18:27:00Z</dcterms:modified>
</cp:coreProperties>
</file>