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39" w:rsidRPr="00DF66C6" w:rsidRDefault="006A7939" w:rsidP="006A7939">
      <w:pPr>
        <w:jc w:val="both"/>
        <w:rPr>
          <w:rFonts w:asciiTheme="majorHAnsi" w:hAnsiTheme="majorHAnsi" w:cs="Arial"/>
          <w:b/>
          <w:i/>
          <w:sz w:val="28"/>
          <w:u w:val="single"/>
        </w:rPr>
      </w:pPr>
      <w:r>
        <w:rPr>
          <w:rFonts w:asciiTheme="majorHAnsi" w:hAnsiTheme="majorHAnsi" w:cs="Arial"/>
          <w:b/>
          <w:sz w:val="28"/>
        </w:rPr>
        <w:t xml:space="preserve">    </w:t>
      </w:r>
      <w:r w:rsidRPr="00DF66C6">
        <w:rPr>
          <w:rFonts w:asciiTheme="majorHAnsi" w:hAnsiTheme="majorHAnsi" w:cs="Arial"/>
          <w:b/>
          <w:i/>
          <w:sz w:val="28"/>
          <w:u w:val="single"/>
        </w:rPr>
        <w:t>CONSULTA:</w:t>
      </w:r>
    </w:p>
    <w:p w:rsidR="006A7939" w:rsidRDefault="006A7939" w:rsidP="006A7939">
      <w:pPr>
        <w:tabs>
          <w:tab w:val="left" w:pos="6690"/>
        </w:tabs>
        <w:jc w:val="both"/>
        <w:rPr>
          <w:rFonts w:asciiTheme="majorHAnsi" w:hAnsiTheme="majorHAnsi" w:cs="Arial"/>
          <w:b/>
          <w:sz w:val="28"/>
        </w:rPr>
      </w:pPr>
      <w:r>
        <w:rPr>
          <w:rFonts w:asciiTheme="majorHAnsi" w:hAnsiTheme="majorHAnsi" w:cs="Arial"/>
          <w:b/>
          <w:sz w:val="28"/>
        </w:rPr>
        <w:tab/>
      </w:r>
    </w:p>
    <w:tbl>
      <w:tblPr>
        <w:tblStyle w:val="Tabelacomgrade"/>
        <w:tblW w:w="0" w:type="auto"/>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4570"/>
      </w:tblGrid>
      <w:tr w:rsidR="006A7939" w:rsidRPr="006A7939" w:rsidTr="006A7939">
        <w:tc>
          <w:tcPr>
            <w:tcW w:w="3684" w:type="dxa"/>
          </w:tcPr>
          <w:p w:rsidR="006A7939" w:rsidRPr="006A7939" w:rsidRDefault="006A7939" w:rsidP="005155D2">
            <w:pPr>
              <w:jc w:val="both"/>
              <w:rPr>
                <w:rFonts w:ascii="Arial" w:hAnsi="Arial" w:cs="Arial"/>
                <w:b/>
                <w:u w:val="single"/>
              </w:rPr>
            </w:pPr>
            <w:r w:rsidRPr="006A7939">
              <w:rPr>
                <w:rFonts w:ascii="Arial" w:hAnsi="Arial" w:cs="Arial"/>
                <w:b/>
                <w:u w:val="single"/>
              </w:rPr>
              <w:t>xxx MENEGUZO</w:t>
            </w:r>
          </w:p>
        </w:tc>
        <w:tc>
          <w:tcPr>
            <w:tcW w:w="4570" w:type="dxa"/>
          </w:tcPr>
          <w:p w:rsidR="006A7939" w:rsidRDefault="006A7939" w:rsidP="006A7939">
            <w:pPr>
              <w:jc w:val="both"/>
              <w:rPr>
                <w:rFonts w:ascii="Arial" w:hAnsi="Arial" w:cs="Arial"/>
                <w:b/>
              </w:rPr>
            </w:pPr>
            <w:r w:rsidRPr="006A7939">
              <w:rPr>
                <w:rFonts w:ascii="Arial" w:hAnsi="Arial" w:cs="Arial"/>
                <w:b/>
              </w:rPr>
              <w:t xml:space="preserve">APOSENTADORIA POR </w:t>
            </w:r>
          </w:p>
          <w:p w:rsidR="006A7939" w:rsidRPr="006A7939" w:rsidRDefault="006A7939" w:rsidP="006A7939">
            <w:pPr>
              <w:jc w:val="both"/>
              <w:rPr>
                <w:rFonts w:ascii="Arial" w:hAnsi="Arial" w:cs="Arial"/>
                <w:b/>
              </w:rPr>
            </w:pPr>
            <w:r w:rsidRPr="006A7939">
              <w:rPr>
                <w:rFonts w:ascii="Arial" w:hAnsi="Arial" w:cs="Arial"/>
                <w:b/>
              </w:rPr>
              <w:t>INCAPACIDADE PERMANENTE</w:t>
            </w:r>
          </w:p>
        </w:tc>
      </w:tr>
    </w:tbl>
    <w:p w:rsidR="008B7F9D" w:rsidRPr="003141F9" w:rsidRDefault="008B7F9D" w:rsidP="003141F9">
      <w:pPr>
        <w:spacing w:after="0" w:line="240" w:lineRule="auto"/>
        <w:jc w:val="both"/>
        <w:rPr>
          <w:rFonts w:ascii="Arial" w:hAnsi="Arial" w:cs="Arial"/>
          <w:color w:val="000000" w:themeColor="text1"/>
          <w:sz w:val="24"/>
          <w:szCs w:val="24"/>
        </w:rPr>
      </w:pPr>
    </w:p>
    <w:p w:rsidR="003141F9" w:rsidRDefault="003141F9" w:rsidP="003141F9">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t>A Aposentadoria por Incapacidade Permanente, anteriormente chamada de Aposentadoria por Invalidez, é regulada pela Lei 8.213/91 que estipula requisitos para a sua concessão:</w:t>
      </w:r>
    </w:p>
    <w:p w:rsidR="003141F9" w:rsidRDefault="003141F9" w:rsidP="003141F9">
      <w:pPr>
        <w:spacing w:after="0" w:line="240" w:lineRule="auto"/>
        <w:ind w:left="1416" w:right="566"/>
        <w:jc w:val="both"/>
        <w:rPr>
          <w:rFonts w:cstheme="minorHAnsi"/>
          <w:color w:val="000000" w:themeColor="text1"/>
        </w:rPr>
      </w:pPr>
    </w:p>
    <w:p w:rsidR="003141F9" w:rsidRPr="00173A54" w:rsidRDefault="003141F9" w:rsidP="003141F9">
      <w:pPr>
        <w:spacing w:after="0" w:line="240" w:lineRule="auto"/>
        <w:ind w:left="2832" w:right="-1"/>
        <w:jc w:val="both"/>
        <w:rPr>
          <w:rFonts w:cstheme="minorHAnsi"/>
          <w:i/>
          <w:color w:val="000000" w:themeColor="text1"/>
        </w:rPr>
      </w:pPr>
      <w:r w:rsidRPr="00173A54">
        <w:rPr>
          <w:rFonts w:cstheme="minorHAnsi"/>
          <w:i/>
          <w:color w:val="000000" w:themeColor="text1"/>
        </w:rPr>
        <w:t>Art. 42. A aposentadoria por invalidez, uma vez cumprida, quando for o caso, a carência exigida, será devida ao segurado que, estando ou não em gozo de auxílio-doença, for considerado incapaz e insusceptível de reabilitação para o exercício de atividade que lhe garanta a subsistência, e ser-lhe-á paga enquanto permanecer nesta condição.</w:t>
      </w:r>
    </w:p>
    <w:p w:rsidR="003141F9" w:rsidRPr="00173A54" w:rsidRDefault="003141F9" w:rsidP="003141F9">
      <w:pPr>
        <w:spacing w:after="0" w:line="240" w:lineRule="auto"/>
        <w:ind w:left="2832" w:right="-1"/>
        <w:jc w:val="both"/>
        <w:rPr>
          <w:rFonts w:cstheme="minorHAnsi"/>
          <w:i/>
          <w:color w:val="000000" w:themeColor="text1"/>
        </w:rPr>
      </w:pPr>
    </w:p>
    <w:p w:rsidR="003141F9" w:rsidRPr="00173A54" w:rsidRDefault="003141F9" w:rsidP="003141F9">
      <w:pPr>
        <w:spacing w:after="0" w:line="240" w:lineRule="auto"/>
        <w:ind w:left="2832" w:right="-1"/>
        <w:jc w:val="both"/>
        <w:rPr>
          <w:rFonts w:cstheme="minorHAnsi"/>
          <w:i/>
          <w:color w:val="000000" w:themeColor="text1"/>
        </w:rPr>
      </w:pPr>
      <w:r w:rsidRPr="00173A54">
        <w:rPr>
          <w:rFonts w:cstheme="minorHAnsi"/>
          <w:i/>
          <w:color w:val="000000" w:themeColor="text1"/>
        </w:rPr>
        <w:t>§ 1º A concessão de aposentadoria por invalidez dependerá da verificação da condição de incapacidade mediante exame médico-pericial a cargo da Previdência Social, podendo o segurado, às suas expensas, fazer-se acompanhar de médico de sua confiança.</w:t>
      </w:r>
    </w:p>
    <w:p w:rsidR="003141F9" w:rsidRPr="00173A54" w:rsidRDefault="003141F9" w:rsidP="003141F9">
      <w:pPr>
        <w:spacing w:after="0" w:line="240" w:lineRule="auto"/>
        <w:ind w:left="2832" w:right="-1"/>
        <w:jc w:val="both"/>
        <w:rPr>
          <w:rFonts w:cstheme="minorHAnsi"/>
          <w:i/>
          <w:color w:val="000000" w:themeColor="text1"/>
        </w:rPr>
      </w:pPr>
    </w:p>
    <w:p w:rsidR="003141F9" w:rsidRPr="00173A54" w:rsidRDefault="003141F9" w:rsidP="003141F9">
      <w:pPr>
        <w:spacing w:after="0" w:line="240" w:lineRule="auto"/>
        <w:ind w:left="2832" w:right="-1"/>
        <w:jc w:val="both"/>
        <w:rPr>
          <w:rFonts w:cstheme="minorHAnsi"/>
          <w:i/>
          <w:color w:val="000000" w:themeColor="text1"/>
        </w:rPr>
      </w:pPr>
      <w:r w:rsidRPr="00173A54">
        <w:rPr>
          <w:rFonts w:cstheme="minorHAnsi"/>
          <w:i/>
          <w:color w:val="000000" w:themeColor="text1"/>
        </w:rPr>
        <w:t>§ 2º A doença ou lesão de que o segurado já era portador ao filiar-se ao Regime Geral de Previdência Social não lhe conferirá direito à aposentadoria por invalidez, salvo quando a incapacidade sobrevier por motivo de progressão ou agravamento dessa doença ou lesão.</w:t>
      </w:r>
    </w:p>
    <w:p w:rsidR="003141F9" w:rsidRPr="003141F9" w:rsidRDefault="003141F9" w:rsidP="003141F9">
      <w:pPr>
        <w:spacing w:after="0" w:line="240" w:lineRule="auto"/>
        <w:ind w:left="2832" w:right="-1"/>
        <w:jc w:val="both"/>
        <w:rPr>
          <w:rFonts w:cstheme="minorHAnsi"/>
          <w:color w:val="000000" w:themeColor="text1"/>
        </w:rPr>
      </w:pPr>
    </w:p>
    <w:p w:rsidR="003141F9" w:rsidRDefault="003141F9" w:rsidP="003141F9">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t xml:space="preserve">Para a concessão da aposentadoria por invalidez é </w:t>
      </w:r>
      <w:r w:rsidRPr="003141F9">
        <w:rPr>
          <w:rFonts w:ascii="Arial" w:hAnsi="Arial" w:cs="Arial"/>
          <w:spacing w:val="2"/>
        </w:rPr>
        <w:t xml:space="preserve">necessário </w:t>
      </w:r>
      <w:r>
        <w:rPr>
          <w:rFonts w:ascii="Arial" w:hAnsi="Arial" w:cs="Arial"/>
          <w:spacing w:val="2"/>
        </w:rPr>
        <w:t xml:space="preserve">primeiramente ser segurado </w:t>
      </w:r>
      <w:proofErr w:type="gramStart"/>
      <w:r>
        <w:rPr>
          <w:rFonts w:ascii="Arial" w:hAnsi="Arial" w:cs="Arial"/>
          <w:spacing w:val="2"/>
        </w:rPr>
        <w:t>do INSS ou seja</w:t>
      </w:r>
      <w:proofErr w:type="gramEnd"/>
      <w:r>
        <w:rPr>
          <w:rFonts w:ascii="Arial" w:hAnsi="Arial" w:cs="Arial"/>
          <w:spacing w:val="2"/>
        </w:rPr>
        <w:t xml:space="preserve"> é necessário efetuar as contribuições mensalmente ao instituto como segurado. </w:t>
      </w:r>
    </w:p>
    <w:p w:rsidR="003141F9" w:rsidRDefault="003141F9" w:rsidP="003141F9">
      <w:pPr>
        <w:pStyle w:val="NormalWeb"/>
        <w:shd w:val="clear" w:color="auto" w:fill="FFFFFF"/>
        <w:spacing w:before="0" w:beforeAutospacing="0" w:after="0" w:afterAutospacing="0"/>
        <w:jc w:val="both"/>
        <w:rPr>
          <w:rFonts w:ascii="Arial" w:hAnsi="Arial" w:cs="Arial"/>
          <w:spacing w:val="2"/>
        </w:rPr>
      </w:pPr>
    </w:p>
    <w:p w:rsidR="003141F9" w:rsidRDefault="003141F9" w:rsidP="003141F9">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t xml:space="preserve"> Em segundo lugar é necessário passar pela perícia médica do INSS, para que o perito ateste que a pessoa é incapaz e insusceptível de reabilitação para o exercício de atividade que lhe garanta a subsistência, devendo ainda cumprir um período de carência </w:t>
      </w:r>
      <w:r w:rsidR="00173A54">
        <w:rPr>
          <w:rFonts w:ascii="Arial" w:hAnsi="Arial" w:cs="Arial"/>
          <w:spacing w:val="2"/>
        </w:rPr>
        <w:t xml:space="preserve">mínima de doze contribuições mensais </w:t>
      </w:r>
      <w:r>
        <w:rPr>
          <w:rFonts w:ascii="Arial" w:hAnsi="Arial" w:cs="Arial"/>
          <w:spacing w:val="2"/>
        </w:rPr>
        <w:t>quando for o caso.</w:t>
      </w:r>
    </w:p>
    <w:p w:rsidR="003141F9" w:rsidRDefault="003141F9" w:rsidP="003141F9">
      <w:pPr>
        <w:pStyle w:val="NormalWeb"/>
        <w:shd w:val="clear" w:color="auto" w:fill="FFFFFF"/>
        <w:spacing w:before="0" w:beforeAutospacing="0" w:after="0" w:afterAutospacing="0"/>
        <w:jc w:val="both"/>
        <w:rPr>
          <w:rFonts w:ascii="Arial" w:hAnsi="Arial" w:cs="Arial"/>
          <w:spacing w:val="2"/>
        </w:rPr>
      </w:pPr>
    </w:p>
    <w:p w:rsidR="003141F9" w:rsidRDefault="003141F9" w:rsidP="003141F9">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t>Além disso se a pessoa no momento da filiação junto ao INSS, já possuía uma doença ou lesão não será possível a aposentadoria por invalidez, sendo que a única exceção se dá quando a pessoa se filia ao INSS e consegue trabalhar normalmente na atividade para a qual foi contratada e somente depois a doença ou lesão vai se agravando até a pessoa não conseguir mais trabalhar.</w:t>
      </w:r>
    </w:p>
    <w:p w:rsidR="003141F9" w:rsidRPr="003141F9" w:rsidRDefault="003141F9" w:rsidP="003141F9">
      <w:pPr>
        <w:pStyle w:val="NormalWeb"/>
        <w:shd w:val="clear" w:color="auto" w:fill="FFFFFF"/>
        <w:spacing w:before="0" w:beforeAutospacing="0" w:after="0" w:afterAutospacing="0"/>
        <w:jc w:val="both"/>
        <w:rPr>
          <w:rFonts w:ascii="Arial" w:hAnsi="Arial" w:cs="Arial"/>
          <w:spacing w:val="2"/>
        </w:rPr>
      </w:pPr>
    </w:p>
    <w:p w:rsidR="003141F9" w:rsidRDefault="00173A54" w:rsidP="003141F9">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sidR="003141F9" w:rsidRPr="003141F9">
        <w:rPr>
          <w:rFonts w:ascii="Arial" w:hAnsi="Arial" w:cs="Arial"/>
          <w:spacing w:val="2"/>
        </w:rPr>
        <w:t>Um dos principais pilares da Previdência Social é o seu caráter contributivo, ou seja, que os benefícios concedidos serão custeados pelas contribuições sociais que são compulsórias/obrigatórias. Assim, o benefício de aposentadoria por invalidez não será concedido para pessoa que nunca contribuiu com a Previdência Social, mesmo que tenha sofrido acidente de qualquer natureza.</w:t>
      </w:r>
    </w:p>
    <w:p w:rsidR="005A5599" w:rsidRDefault="005A5599" w:rsidP="003141F9">
      <w:pPr>
        <w:pStyle w:val="NormalWeb"/>
        <w:shd w:val="clear" w:color="auto" w:fill="FFFFFF"/>
        <w:spacing w:before="0" w:beforeAutospacing="0" w:after="0" w:afterAutospacing="0"/>
        <w:jc w:val="both"/>
        <w:rPr>
          <w:rFonts w:ascii="Arial" w:hAnsi="Arial" w:cs="Arial"/>
          <w:spacing w:val="2"/>
        </w:rPr>
      </w:pPr>
    </w:p>
    <w:p w:rsidR="00173A54" w:rsidRPr="00173A54" w:rsidRDefault="00173A54" w:rsidP="00173A54">
      <w:pPr>
        <w:pStyle w:val="NormalWeb"/>
        <w:shd w:val="clear" w:color="auto" w:fill="FFFFFF"/>
        <w:spacing w:before="0" w:beforeAutospacing="0" w:after="0" w:afterAutospacing="0"/>
        <w:jc w:val="center"/>
        <w:rPr>
          <w:rFonts w:ascii="Arial" w:hAnsi="Arial" w:cs="Arial"/>
          <w:b/>
          <w:spacing w:val="2"/>
          <w:u w:val="single"/>
        </w:rPr>
      </w:pPr>
      <w:r w:rsidRPr="00173A54">
        <w:rPr>
          <w:rFonts w:ascii="Arial" w:hAnsi="Arial" w:cs="Arial"/>
          <w:b/>
          <w:spacing w:val="2"/>
          <w:u w:val="single"/>
        </w:rPr>
        <w:lastRenderedPageBreak/>
        <w:t>BENEFÍCIO ASSISTENCIAL</w:t>
      </w:r>
      <w:r>
        <w:rPr>
          <w:rFonts w:ascii="Arial" w:hAnsi="Arial" w:cs="Arial"/>
          <w:b/>
          <w:spacing w:val="2"/>
          <w:u w:val="single"/>
        </w:rPr>
        <w:t xml:space="preserve"> -</w:t>
      </w:r>
      <w:r w:rsidRPr="00173A54">
        <w:rPr>
          <w:rFonts w:ascii="Arial" w:hAnsi="Arial" w:cs="Arial"/>
          <w:b/>
          <w:spacing w:val="2"/>
          <w:u w:val="single"/>
        </w:rPr>
        <w:t xml:space="preserve"> LOAS</w:t>
      </w:r>
      <w:r>
        <w:rPr>
          <w:rFonts w:ascii="Arial" w:hAnsi="Arial" w:cs="Arial"/>
          <w:b/>
          <w:spacing w:val="2"/>
          <w:u w:val="single"/>
        </w:rPr>
        <w:t>:</w:t>
      </w:r>
    </w:p>
    <w:p w:rsidR="00173A54" w:rsidRDefault="00173A54" w:rsidP="003141F9">
      <w:pPr>
        <w:pStyle w:val="NormalWeb"/>
        <w:shd w:val="clear" w:color="auto" w:fill="FFFFFF"/>
        <w:spacing w:before="0" w:beforeAutospacing="0" w:after="0" w:afterAutospacing="0"/>
        <w:jc w:val="both"/>
        <w:rPr>
          <w:rFonts w:ascii="Arial" w:hAnsi="Arial" w:cs="Arial"/>
          <w:spacing w:val="2"/>
        </w:rPr>
      </w:pPr>
    </w:p>
    <w:p w:rsidR="00173A54" w:rsidRDefault="00173A54" w:rsidP="003141F9">
      <w:pPr>
        <w:pStyle w:val="NormalWeb"/>
        <w:shd w:val="clear" w:color="auto" w:fill="FFFFFF"/>
        <w:spacing w:before="0" w:beforeAutospacing="0" w:after="0" w:afterAutospacing="0"/>
        <w:jc w:val="both"/>
        <w:rPr>
          <w:rFonts w:ascii="Arial" w:hAnsi="Arial" w:cs="Arial"/>
          <w:spacing w:val="2"/>
        </w:rPr>
      </w:pPr>
    </w:p>
    <w:p w:rsidR="003141F9" w:rsidRPr="003141F9" w:rsidRDefault="00173A54" w:rsidP="003141F9">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sidR="003141F9" w:rsidRPr="003141F9">
        <w:rPr>
          <w:rFonts w:ascii="Arial" w:hAnsi="Arial" w:cs="Arial"/>
          <w:spacing w:val="2"/>
        </w:rPr>
        <w:t>Existe a possibilidade da pessoa que nunca contribuiu com a Previdência Social ou para quem perdeu a qualidade de segurado (deixou de contribuir por 12, 24 ou 36 meses), pleitear a concessão do benefício assistencial LOAS, previsto na Lei Orgânica da Assistência Social número </w:t>
      </w:r>
      <w:hyperlink r:id="rId6" w:tooltip="Lei nº 8.742, de 7 de dezembro de 1993." w:history="1">
        <w:r w:rsidR="003141F9" w:rsidRPr="003141F9">
          <w:rPr>
            <w:rStyle w:val="Hyperlink"/>
            <w:rFonts w:ascii="Arial" w:hAnsi="Arial" w:cs="Arial"/>
            <w:color w:val="0091EA"/>
            <w:spacing w:val="2"/>
          </w:rPr>
          <w:t>8.742</w:t>
        </w:r>
      </w:hyperlink>
      <w:r w:rsidR="003141F9" w:rsidRPr="003141F9">
        <w:rPr>
          <w:rFonts w:ascii="Arial" w:hAnsi="Arial" w:cs="Arial"/>
          <w:spacing w:val="2"/>
        </w:rPr>
        <w:t>/93, ao qual estabelece:</w:t>
      </w:r>
    </w:p>
    <w:p w:rsidR="003141F9" w:rsidRPr="003141F9" w:rsidRDefault="003141F9" w:rsidP="003141F9">
      <w:pPr>
        <w:shd w:val="clear" w:color="auto" w:fill="FFFFFF"/>
        <w:spacing w:after="0" w:line="240" w:lineRule="auto"/>
        <w:jc w:val="both"/>
        <w:rPr>
          <w:rFonts w:ascii="Arial" w:hAnsi="Arial" w:cs="Arial"/>
          <w:i/>
          <w:iCs/>
          <w:spacing w:val="2"/>
          <w:sz w:val="24"/>
          <w:szCs w:val="24"/>
        </w:rPr>
      </w:pPr>
    </w:p>
    <w:p w:rsidR="003141F9" w:rsidRPr="00173A54" w:rsidRDefault="003141F9" w:rsidP="00173A54">
      <w:pPr>
        <w:shd w:val="clear" w:color="auto" w:fill="FFFFFF"/>
        <w:spacing w:after="0" w:line="240" w:lineRule="auto"/>
        <w:ind w:left="2832"/>
        <w:jc w:val="both"/>
        <w:rPr>
          <w:rFonts w:cstheme="minorHAnsi"/>
          <w:i/>
          <w:iCs/>
          <w:spacing w:val="2"/>
          <w:szCs w:val="24"/>
        </w:rPr>
      </w:pPr>
      <w:r w:rsidRPr="00173A54">
        <w:rPr>
          <w:rFonts w:cstheme="minorHAnsi"/>
          <w:i/>
          <w:iCs/>
          <w:spacing w:val="2"/>
          <w:szCs w:val="24"/>
        </w:rPr>
        <w:t>Art. 20. O benefício de prestação continuada é a garantia de um salário-mínimo mensal à pessoa com deficiência e ao idoso com 65 (sessenta e cinco) anos ou mais que comprovem não possuir meios de prover a própria manutenção nem de tê-la provida por sua família.</w:t>
      </w:r>
    </w:p>
    <w:p w:rsidR="003141F9" w:rsidRPr="00173A54" w:rsidRDefault="003141F9" w:rsidP="00173A54">
      <w:pPr>
        <w:shd w:val="clear" w:color="auto" w:fill="FFFFFF"/>
        <w:spacing w:after="0" w:line="240" w:lineRule="auto"/>
        <w:ind w:left="2832"/>
        <w:jc w:val="both"/>
        <w:rPr>
          <w:rFonts w:cstheme="minorHAnsi"/>
          <w:i/>
          <w:iCs/>
          <w:spacing w:val="2"/>
          <w:szCs w:val="24"/>
        </w:rPr>
      </w:pPr>
    </w:p>
    <w:p w:rsidR="003141F9" w:rsidRPr="00173A54" w:rsidRDefault="003141F9" w:rsidP="00173A54">
      <w:pPr>
        <w:shd w:val="clear" w:color="auto" w:fill="FFFFFF"/>
        <w:spacing w:after="0" w:line="240" w:lineRule="auto"/>
        <w:ind w:left="2832"/>
        <w:jc w:val="both"/>
        <w:rPr>
          <w:rFonts w:cstheme="minorHAnsi"/>
          <w:i/>
          <w:iCs/>
          <w:spacing w:val="2"/>
          <w:szCs w:val="24"/>
        </w:rPr>
      </w:pPr>
      <w:r w:rsidRPr="00173A54">
        <w:rPr>
          <w:rFonts w:cstheme="minorHAnsi"/>
          <w:i/>
          <w:iCs/>
          <w:spacing w:val="2"/>
          <w:szCs w:val="24"/>
        </w:rPr>
        <w:t>§ 1º Para os efeitos do disposto no caput, a família é composta pelo requerente, o cônjuge ou companheiro, os pais e, na ausência de um deles, a madrasta ou o padrasto, os irmãos solteiros, os filhos e enteados solteiros e os menores tutelados, desde que vivam sob o mesmo teto.</w:t>
      </w:r>
    </w:p>
    <w:p w:rsidR="003141F9" w:rsidRPr="00173A54" w:rsidRDefault="003141F9" w:rsidP="00173A54">
      <w:pPr>
        <w:shd w:val="clear" w:color="auto" w:fill="FFFFFF"/>
        <w:spacing w:after="0" w:line="240" w:lineRule="auto"/>
        <w:ind w:left="2832"/>
        <w:jc w:val="both"/>
        <w:rPr>
          <w:rFonts w:cstheme="minorHAnsi"/>
          <w:i/>
          <w:iCs/>
          <w:spacing w:val="2"/>
          <w:szCs w:val="24"/>
        </w:rPr>
      </w:pPr>
    </w:p>
    <w:p w:rsidR="003141F9" w:rsidRPr="00173A54" w:rsidRDefault="003141F9" w:rsidP="00173A54">
      <w:pPr>
        <w:shd w:val="clear" w:color="auto" w:fill="FFFFFF"/>
        <w:spacing w:after="0" w:line="240" w:lineRule="auto"/>
        <w:ind w:left="2832"/>
        <w:jc w:val="both"/>
        <w:rPr>
          <w:rFonts w:cstheme="minorHAnsi"/>
          <w:i/>
          <w:iCs/>
          <w:spacing w:val="2"/>
          <w:szCs w:val="24"/>
        </w:rPr>
      </w:pPr>
      <w:r w:rsidRPr="00173A54">
        <w:rPr>
          <w:rFonts w:cstheme="minorHAnsi"/>
          <w:i/>
          <w:iCs/>
          <w:spacing w:val="2"/>
          <w:szCs w:val="24"/>
        </w:rPr>
        <w:t>§ 2º Para efeito de concessão deste benefício, considera-se pessoa com deficiência aquela que tem impedimentos de longo prazo de natureza física, mental, intelectual ou sensorial, os quais, em interação com diversas barreiras, podem obstruir sua participação plena e efetiva na sociedade em igualdade de condições com as demais pessoas.</w:t>
      </w:r>
    </w:p>
    <w:p w:rsidR="001E4778" w:rsidRDefault="001E4778" w:rsidP="00173A54">
      <w:pPr>
        <w:shd w:val="clear" w:color="auto" w:fill="FFFFFF"/>
        <w:spacing w:after="0" w:line="240" w:lineRule="auto"/>
        <w:ind w:left="2832"/>
        <w:jc w:val="both"/>
        <w:rPr>
          <w:rFonts w:cstheme="minorHAnsi"/>
          <w:i/>
          <w:iCs/>
          <w:spacing w:val="2"/>
          <w:szCs w:val="24"/>
        </w:rPr>
      </w:pPr>
    </w:p>
    <w:p w:rsidR="003141F9" w:rsidRDefault="003141F9" w:rsidP="00173A54">
      <w:pPr>
        <w:shd w:val="clear" w:color="auto" w:fill="FFFFFF"/>
        <w:spacing w:after="0" w:line="240" w:lineRule="auto"/>
        <w:ind w:left="2832"/>
        <w:jc w:val="both"/>
        <w:rPr>
          <w:rFonts w:cstheme="minorHAnsi"/>
          <w:i/>
          <w:iCs/>
          <w:spacing w:val="2"/>
          <w:szCs w:val="24"/>
        </w:rPr>
      </w:pPr>
      <w:r w:rsidRPr="00173A54">
        <w:rPr>
          <w:rFonts w:cstheme="minorHAnsi"/>
          <w:i/>
          <w:iCs/>
          <w:spacing w:val="2"/>
          <w:szCs w:val="24"/>
        </w:rPr>
        <w:t>§ 3º Considera-se incapaz de prover a manutenção da pessoa com deficiência ou idosa a família cuja renda mensal per capita seja inferior a 1/4 (um quarto) do salário-mínimo.</w:t>
      </w:r>
    </w:p>
    <w:p w:rsidR="00173A54" w:rsidRPr="003141F9" w:rsidRDefault="00173A54" w:rsidP="00173A54">
      <w:pPr>
        <w:shd w:val="clear" w:color="auto" w:fill="FFFFFF"/>
        <w:spacing w:after="0" w:line="240" w:lineRule="auto"/>
        <w:ind w:left="2832"/>
        <w:jc w:val="both"/>
        <w:rPr>
          <w:rFonts w:ascii="Arial" w:hAnsi="Arial" w:cs="Arial"/>
          <w:i/>
          <w:iCs/>
          <w:spacing w:val="2"/>
          <w:sz w:val="24"/>
          <w:szCs w:val="24"/>
        </w:rPr>
      </w:pPr>
    </w:p>
    <w:p w:rsidR="003141F9" w:rsidRDefault="001E4778" w:rsidP="003141F9">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sidR="003141F9" w:rsidRPr="003141F9">
        <w:rPr>
          <w:rFonts w:ascii="Arial" w:hAnsi="Arial" w:cs="Arial"/>
          <w:spacing w:val="2"/>
        </w:rPr>
        <w:t>A pessoa que se encontra incapacitada e não realizou nenhuma contribuição ao INSS, desde que seja constatado por intermédio de perícia médica que possui alguma deficiente física, mental, intelectual ou sensorial, bem como esta incapacidade ou deficiência impeça a participação efetiva na sociedade em igualdade de condições com as demais pessoas, terá direito à implantação do benefício assistencial LOAS-Deficiente, como é popularmente conhecido.</w:t>
      </w:r>
    </w:p>
    <w:p w:rsidR="001E4778" w:rsidRPr="003141F9" w:rsidRDefault="001E4778" w:rsidP="003141F9">
      <w:pPr>
        <w:pStyle w:val="NormalWeb"/>
        <w:shd w:val="clear" w:color="auto" w:fill="FFFFFF"/>
        <w:spacing w:before="0" w:beforeAutospacing="0" w:after="0" w:afterAutospacing="0"/>
        <w:jc w:val="both"/>
        <w:rPr>
          <w:rFonts w:ascii="Arial" w:hAnsi="Arial" w:cs="Arial"/>
          <w:spacing w:val="2"/>
        </w:rPr>
      </w:pPr>
    </w:p>
    <w:p w:rsidR="003141F9" w:rsidRDefault="001E4778" w:rsidP="003141F9">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sidR="003141F9" w:rsidRPr="003141F9">
        <w:rPr>
          <w:rFonts w:ascii="Arial" w:hAnsi="Arial" w:cs="Arial"/>
          <w:spacing w:val="2"/>
        </w:rPr>
        <w:t>Como o LOAS é um benefício assistencial, não depende de prévia contribuição à Previdência Social, porém, além da incapacidade ou deficiência apurada em perícia médica por perito do INSS, é necessário que esta pessoa não possua renda e que a renda per capita da sua família não supere um quarto do salário mínimo vigente.</w:t>
      </w:r>
    </w:p>
    <w:p w:rsidR="001E4778" w:rsidRDefault="001E4778" w:rsidP="003141F9">
      <w:pPr>
        <w:pStyle w:val="NormalWeb"/>
        <w:shd w:val="clear" w:color="auto" w:fill="FFFFFF"/>
        <w:spacing w:before="0" w:beforeAutospacing="0" w:after="0" w:afterAutospacing="0"/>
        <w:jc w:val="both"/>
        <w:rPr>
          <w:rFonts w:ascii="Arial" w:hAnsi="Arial" w:cs="Arial"/>
          <w:spacing w:val="2"/>
        </w:rPr>
      </w:pPr>
    </w:p>
    <w:p w:rsidR="001E4778" w:rsidRDefault="001E4778" w:rsidP="003141F9">
      <w:pPr>
        <w:pStyle w:val="NormalWeb"/>
        <w:shd w:val="clear" w:color="auto" w:fill="FFFFFF"/>
        <w:spacing w:before="0" w:beforeAutospacing="0" w:after="0" w:afterAutospacing="0"/>
        <w:jc w:val="both"/>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t>À vista de todo o exposto, e pela análise das informações fornecidas, opinamos que não é possível a concessão da aposentadoria por invalidez, dado que a Requerente já possuía doença/lesão pré-existente e também não é possível a concessão do benefício do LOAS, na medida que a renda mensal per capita da Requerente ultrapassa o valor de ¼ (um quarto) do salário mínimo.</w:t>
      </w:r>
    </w:p>
    <w:p w:rsidR="006A7939" w:rsidRDefault="006A7939" w:rsidP="003141F9">
      <w:pPr>
        <w:pStyle w:val="NormalWeb"/>
        <w:shd w:val="clear" w:color="auto" w:fill="FFFFFF"/>
        <w:spacing w:before="0" w:beforeAutospacing="0" w:after="0" w:afterAutospacing="0"/>
        <w:jc w:val="both"/>
        <w:rPr>
          <w:rFonts w:ascii="Arial" w:hAnsi="Arial" w:cs="Arial"/>
          <w:spacing w:val="2"/>
        </w:rPr>
      </w:pPr>
    </w:p>
    <w:p w:rsidR="005A5599" w:rsidRDefault="005A5599" w:rsidP="005A5599">
      <w:pPr>
        <w:pStyle w:val="NormalWeb"/>
        <w:shd w:val="clear" w:color="auto" w:fill="FFFFFF"/>
        <w:spacing w:before="0" w:beforeAutospacing="0" w:after="480" w:afterAutospacing="0"/>
        <w:rPr>
          <w:rFonts w:ascii="Arial" w:hAnsi="Arial" w:cs="Arial"/>
          <w:spacing w:val="2"/>
        </w:rPr>
      </w:pPr>
      <w:bookmarkStart w:id="0" w:name="_GoBack"/>
      <w:bookmarkEnd w:id="0"/>
    </w:p>
    <w:p w:rsidR="005A5599" w:rsidRDefault="00433306" w:rsidP="005A5599">
      <w:pPr>
        <w:pStyle w:val="NormalWeb"/>
        <w:shd w:val="clear" w:color="auto" w:fill="FFFFFF"/>
        <w:spacing w:before="0" w:beforeAutospacing="0" w:after="480" w:afterAutospacing="0"/>
        <w:rPr>
          <w:rFonts w:ascii="Arial" w:hAnsi="Arial" w:cs="Arial"/>
          <w:spacing w:val="2"/>
        </w:rPr>
      </w:pPr>
      <w:r>
        <w:rPr>
          <w:rFonts w:ascii="Arial" w:hAnsi="Arial" w:cs="Arial"/>
          <w:color w:val="000000"/>
          <w:shd w:val="clear" w:color="auto" w:fill="FBFBFB"/>
        </w:rPr>
        <w:lastRenderedPageBreak/>
        <w:t xml:space="preserve"> </w:t>
      </w:r>
      <w:r>
        <w:rPr>
          <w:rFonts w:ascii="Arial" w:hAnsi="Arial" w:cs="Arial"/>
          <w:color w:val="000000"/>
          <w:shd w:val="clear" w:color="auto" w:fill="FBFBFB"/>
        </w:rPr>
        <w:tab/>
      </w:r>
      <w:r>
        <w:rPr>
          <w:rFonts w:ascii="Arial" w:hAnsi="Arial" w:cs="Arial"/>
          <w:color w:val="000000"/>
          <w:shd w:val="clear" w:color="auto" w:fill="FBFBFB"/>
        </w:rPr>
        <w:tab/>
      </w:r>
      <w:r>
        <w:rPr>
          <w:rFonts w:ascii="Arial" w:hAnsi="Arial" w:cs="Arial"/>
          <w:color w:val="000000"/>
          <w:shd w:val="clear" w:color="auto" w:fill="FBFBFB"/>
        </w:rPr>
        <w:tab/>
      </w:r>
      <w:r>
        <w:rPr>
          <w:rFonts w:ascii="Arial" w:hAnsi="Arial" w:cs="Arial"/>
          <w:color w:val="000000"/>
          <w:shd w:val="clear" w:color="auto" w:fill="FBFBFB"/>
        </w:rPr>
        <w:t>Esse é o parecer. Salvo melhor juízo.</w:t>
      </w:r>
    </w:p>
    <w:p w:rsidR="006A7939" w:rsidRDefault="006A7939" w:rsidP="006A7939">
      <w:pPr>
        <w:pStyle w:val="NormalWeb"/>
        <w:shd w:val="clear" w:color="auto" w:fill="FFFFFF"/>
        <w:spacing w:before="0" w:beforeAutospacing="0" w:after="480" w:afterAutospacing="0"/>
        <w:jc w:val="right"/>
        <w:rPr>
          <w:rFonts w:ascii="Arial" w:hAnsi="Arial" w:cs="Arial"/>
          <w:spacing w:val="2"/>
        </w:rPr>
      </w:pPr>
      <w:r>
        <w:rPr>
          <w:rFonts w:ascii="Arial" w:hAnsi="Arial" w:cs="Arial"/>
          <w:spacing w:val="2"/>
        </w:rPr>
        <w:t xml:space="preserve">Campo </w:t>
      </w:r>
      <w:proofErr w:type="spellStart"/>
      <w:r>
        <w:rPr>
          <w:rFonts w:ascii="Arial" w:hAnsi="Arial" w:cs="Arial"/>
          <w:spacing w:val="2"/>
        </w:rPr>
        <w:t>Grande-MS</w:t>
      </w:r>
      <w:proofErr w:type="spellEnd"/>
      <w:r>
        <w:rPr>
          <w:rFonts w:ascii="Arial" w:hAnsi="Arial" w:cs="Arial"/>
          <w:spacing w:val="2"/>
        </w:rPr>
        <w:t xml:space="preserve">, 23 de </w:t>
      </w:r>
      <w:proofErr w:type="gramStart"/>
      <w:r>
        <w:rPr>
          <w:rFonts w:ascii="Arial" w:hAnsi="Arial" w:cs="Arial"/>
          <w:spacing w:val="2"/>
        </w:rPr>
        <w:t>Junho</w:t>
      </w:r>
      <w:proofErr w:type="gramEnd"/>
      <w:r>
        <w:rPr>
          <w:rFonts w:ascii="Arial" w:hAnsi="Arial" w:cs="Arial"/>
          <w:spacing w:val="2"/>
        </w:rPr>
        <w:t xml:space="preserve"> de 2022.</w:t>
      </w:r>
    </w:p>
    <w:p w:rsidR="006A7939" w:rsidRPr="00C246CE" w:rsidRDefault="006A7939" w:rsidP="006A7939">
      <w:pPr>
        <w:pStyle w:val="NormalWeb"/>
        <w:shd w:val="clear" w:color="auto" w:fill="FFFFFF"/>
        <w:spacing w:before="0" w:beforeAutospacing="0" w:after="480" w:afterAutospacing="0"/>
        <w:rPr>
          <w:rFonts w:ascii="Arial" w:hAnsi="Arial" w:cs="Arial"/>
          <w:spacing w:val="2"/>
        </w:rPr>
      </w:pPr>
    </w:p>
    <w:p w:rsidR="006A7939" w:rsidRDefault="006A7939" w:rsidP="006A7939">
      <w:pPr>
        <w:rPr>
          <w:rFonts w:cs="Arial"/>
        </w:rPr>
      </w:pPr>
    </w:p>
    <w:p w:rsidR="006A7939" w:rsidRDefault="006A7939" w:rsidP="006A7939">
      <w:pPr>
        <w:rPr>
          <w:rFonts w:cs="Arial"/>
        </w:rPr>
      </w:pPr>
    </w:p>
    <w:p w:rsidR="006A7939" w:rsidRDefault="006A7939" w:rsidP="006A7939">
      <w:pPr>
        <w:rPr>
          <w:rFonts w:cs="Arial"/>
        </w:rPr>
      </w:pPr>
    </w:p>
    <w:p w:rsidR="006A7939" w:rsidRPr="0048369E" w:rsidRDefault="006A7939" w:rsidP="006A7939">
      <w:pPr>
        <w:ind w:left="1701"/>
        <w:jc w:val="right"/>
        <w:rPr>
          <w:rFonts w:cs="Arial"/>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1631"/>
        <w:gridCol w:w="3884"/>
      </w:tblGrid>
      <w:tr w:rsidR="006A7939" w:rsidTr="005155D2">
        <w:tc>
          <w:tcPr>
            <w:tcW w:w="4105" w:type="dxa"/>
          </w:tcPr>
          <w:p w:rsidR="006A7939" w:rsidRDefault="006A7939" w:rsidP="005155D2">
            <w:pPr>
              <w:jc w:val="center"/>
              <w:rPr>
                <w:rFonts w:cs="Arial"/>
                <w:b/>
                <w:sz w:val="18"/>
              </w:rPr>
            </w:pPr>
          </w:p>
          <w:p w:rsidR="006A7939" w:rsidRPr="00375344" w:rsidRDefault="006A7939" w:rsidP="005155D2">
            <w:pPr>
              <w:jc w:val="center"/>
              <w:rPr>
                <w:rFonts w:cs="Arial"/>
                <w:b/>
                <w:sz w:val="18"/>
              </w:rPr>
            </w:pPr>
            <w:r w:rsidRPr="00375344">
              <w:rPr>
                <w:rFonts w:cs="Arial"/>
                <w:b/>
                <w:sz w:val="18"/>
              </w:rPr>
              <w:t>TIRMIANO DO NASCIMENTO ELIAS</w:t>
            </w:r>
          </w:p>
          <w:p w:rsidR="006A7939" w:rsidRDefault="006A7939" w:rsidP="006A7939">
            <w:pPr>
              <w:jc w:val="center"/>
              <w:rPr>
                <w:rFonts w:cs="Arial"/>
                <w:b/>
                <w:sz w:val="18"/>
              </w:rPr>
            </w:pPr>
            <w:r w:rsidRPr="00375344">
              <w:rPr>
                <w:rFonts w:cs="Arial"/>
                <w:b/>
                <w:sz w:val="18"/>
              </w:rPr>
              <w:t>OAB 13.985/MS</w:t>
            </w:r>
          </w:p>
          <w:p w:rsidR="006A7939" w:rsidRDefault="006A7939" w:rsidP="005155D2">
            <w:pPr>
              <w:jc w:val="center"/>
              <w:rPr>
                <w:rFonts w:cs="Arial"/>
              </w:rPr>
            </w:pPr>
          </w:p>
        </w:tc>
        <w:tc>
          <w:tcPr>
            <w:tcW w:w="1626" w:type="dxa"/>
          </w:tcPr>
          <w:p w:rsidR="006A7939" w:rsidRDefault="006A7939" w:rsidP="005155D2">
            <w:pPr>
              <w:jc w:val="center"/>
              <w:rPr>
                <w:rFonts w:cs="Arial"/>
              </w:rPr>
            </w:pPr>
            <w:r>
              <w:rPr>
                <w:rFonts w:asciiTheme="minorHAnsi" w:eastAsiaTheme="minorHAnsi" w:hAnsiTheme="minorHAnsi" w:cstheme="minorBidi"/>
                <w:sz w:val="22"/>
                <w:szCs w:val="22"/>
                <w:lang w:eastAsia="en-US"/>
              </w:rP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50.7pt" o:ole="">
                  <v:imagedata r:id="rId7" o:title=""/>
                </v:shape>
                <o:OLEObject Type="Embed" ProgID="PBrush" ShapeID="_x0000_i1025" DrawAspect="Content" ObjectID="_1717508977" r:id="rId8"/>
              </w:object>
            </w:r>
          </w:p>
        </w:tc>
        <w:tc>
          <w:tcPr>
            <w:tcW w:w="4180" w:type="dxa"/>
          </w:tcPr>
          <w:p w:rsidR="006A7939" w:rsidRDefault="006A7939" w:rsidP="005155D2">
            <w:pPr>
              <w:jc w:val="center"/>
              <w:rPr>
                <w:rFonts w:cs="Arial"/>
                <w:b/>
                <w:sz w:val="18"/>
              </w:rPr>
            </w:pPr>
          </w:p>
          <w:p w:rsidR="006A7939" w:rsidRPr="00375344" w:rsidRDefault="006A7939" w:rsidP="005155D2">
            <w:pPr>
              <w:jc w:val="center"/>
              <w:rPr>
                <w:rFonts w:cs="Arial"/>
                <w:b/>
                <w:sz w:val="18"/>
              </w:rPr>
            </w:pPr>
            <w:r w:rsidRPr="00375344">
              <w:rPr>
                <w:rFonts w:cs="Arial"/>
                <w:b/>
                <w:sz w:val="18"/>
              </w:rPr>
              <w:t>REINALDO PEREIRA DA SILVA</w:t>
            </w:r>
          </w:p>
          <w:p w:rsidR="006A7939" w:rsidRPr="00375344" w:rsidRDefault="006A7939" w:rsidP="005155D2">
            <w:pPr>
              <w:jc w:val="center"/>
              <w:rPr>
                <w:rFonts w:cs="Arial"/>
                <w:b/>
                <w:sz w:val="18"/>
              </w:rPr>
            </w:pPr>
            <w:r w:rsidRPr="00375344">
              <w:rPr>
                <w:rFonts w:cs="Arial"/>
                <w:b/>
                <w:sz w:val="18"/>
              </w:rPr>
              <w:t>OAB 19.571/MS</w:t>
            </w:r>
          </w:p>
          <w:p w:rsidR="006A7939" w:rsidRDefault="006A7939" w:rsidP="005155D2">
            <w:pPr>
              <w:jc w:val="center"/>
              <w:rPr>
                <w:rFonts w:cs="Arial"/>
              </w:rPr>
            </w:pPr>
          </w:p>
        </w:tc>
      </w:tr>
    </w:tbl>
    <w:p w:rsidR="006A7939" w:rsidRPr="003141F9" w:rsidRDefault="006A7939" w:rsidP="003141F9">
      <w:pPr>
        <w:pStyle w:val="NormalWeb"/>
        <w:shd w:val="clear" w:color="auto" w:fill="FFFFFF"/>
        <w:spacing w:before="0" w:beforeAutospacing="0" w:after="0" w:afterAutospacing="0"/>
        <w:jc w:val="both"/>
        <w:rPr>
          <w:rFonts w:ascii="Arial" w:hAnsi="Arial" w:cs="Arial"/>
          <w:spacing w:val="2"/>
        </w:rPr>
      </w:pPr>
    </w:p>
    <w:sectPr w:rsidR="006A7939" w:rsidRPr="003141F9" w:rsidSect="006A7939">
      <w:headerReference w:type="default" r:id="rId9"/>
      <w:pgSz w:w="11906" w:h="16838"/>
      <w:pgMar w:top="1134" w:right="1418"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939" w:rsidRDefault="006A7939" w:rsidP="006A7939">
      <w:pPr>
        <w:spacing w:after="0" w:line="240" w:lineRule="auto"/>
      </w:pPr>
      <w:r>
        <w:separator/>
      </w:r>
    </w:p>
  </w:endnote>
  <w:endnote w:type="continuationSeparator" w:id="0">
    <w:p w:rsidR="006A7939" w:rsidRDefault="006A7939" w:rsidP="006A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939" w:rsidRDefault="006A7939" w:rsidP="006A7939">
      <w:pPr>
        <w:spacing w:after="0" w:line="240" w:lineRule="auto"/>
      </w:pPr>
      <w:r>
        <w:separator/>
      </w:r>
    </w:p>
  </w:footnote>
  <w:footnote w:type="continuationSeparator" w:id="0">
    <w:p w:rsidR="006A7939" w:rsidRDefault="006A7939" w:rsidP="006A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939" w:rsidRDefault="006A7939" w:rsidP="006A7939">
    <w:pPr>
      <w:pStyle w:val="Cabealho"/>
      <w:framePr w:wrap="around" w:vAnchor="text" w:hAnchor="margin" w:xAlign="right" w:y="1"/>
      <w:rPr>
        <w:rStyle w:val="Nmerodepgina"/>
        <w:i/>
      </w:rPr>
    </w:pPr>
  </w:p>
  <w:tbl>
    <w:tblPr>
      <w:tblW w:w="9781" w:type="dxa"/>
      <w:tblLook w:val="04A0" w:firstRow="1" w:lastRow="0" w:firstColumn="1" w:lastColumn="0" w:noHBand="0" w:noVBand="1"/>
    </w:tblPr>
    <w:tblGrid>
      <w:gridCol w:w="1288"/>
      <w:gridCol w:w="3532"/>
      <w:gridCol w:w="4961"/>
    </w:tblGrid>
    <w:tr w:rsidR="006A7939" w:rsidRPr="00532341" w:rsidTr="005A5599">
      <w:tc>
        <w:tcPr>
          <w:tcW w:w="1288" w:type="dxa"/>
        </w:tcPr>
        <w:p w:rsidR="006A7939" w:rsidRPr="00042934" w:rsidRDefault="006A7939" w:rsidP="006A7939">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pt;height:36.95pt" o:ole="">
                <v:imagedata r:id="rId1" o:title=""/>
              </v:shape>
              <o:OLEObject Type="Embed" ProgID="PBrush" ShapeID="_x0000_i1026" DrawAspect="Content" ObjectID="_1717508978" r:id="rId2"/>
            </w:object>
          </w:r>
        </w:p>
      </w:tc>
      <w:tc>
        <w:tcPr>
          <w:tcW w:w="3532" w:type="dxa"/>
        </w:tcPr>
        <w:p w:rsidR="006A7939" w:rsidRPr="00EC447D" w:rsidRDefault="006A7939" w:rsidP="006A7939">
          <w:pPr>
            <w:tabs>
              <w:tab w:val="center" w:pos="4419"/>
              <w:tab w:val="right" w:pos="8838"/>
            </w:tabs>
            <w:spacing w:after="0" w:line="240" w:lineRule="auto"/>
            <w:rPr>
              <w:rFonts w:ascii="Brush Script MT" w:hAnsi="Brush Script MT" w:cs="Brush Script MT"/>
              <w:i/>
              <w:iCs/>
              <w:szCs w:val="52"/>
            </w:rPr>
          </w:pPr>
          <w:proofErr w:type="spellStart"/>
          <w:r w:rsidRPr="00EC447D">
            <w:rPr>
              <w:rFonts w:ascii="Brush Script MT" w:hAnsi="Brush Script MT" w:cs="Brush Script MT"/>
              <w:i/>
              <w:iCs/>
              <w:sz w:val="26"/>
              <w:szCs w:val="26"/>
            </w:rPr>
            <w:t>Tirmiano</w:t>
          </w:r>
          <w:proofErr w:type="spellEnd"/>
          <w:r w:rsidRPr="00EC447D">
            <w:rPr>
              <w:rFonts w:ascii="Brush Script MT" w:hAnsi="Brush Script MT" w:cs="Brush Script MT"/>
              <w:i/>
              <w:iCs/>
              <w:sz w:val="26"/>
              <w:szCs w:val="26"/>
            </w:rPr>
            <w:t xml:space="preserve"> Elias</w:t>
          </w:r>
          <w:r w:rsidRPr="00EC447D">
            <w:rPr>
              <w:rFonts w:ascii="Times New Roman" w:hAnsi="Times New Roman"/>
              <w:b/>
              <w:i/>
              <w:sz w:val="12"/>
            </w:rPr>
            <w:t xml:space="preserve"> - </w:t>
          </w:r>
          <w:r w:rsidRPr="00EC447D">
            <w:rPr>
              <w:rFonts w:ascii="Calibri" w:hAnsi="Calibri"/>
              <w:b/>
              <w:i/>
              <w:sz w:val="16"/>
            </w:rPr>
            <w:t>OAB/MS 13.985</w:t>
          </w:r>
        </w:p>
        <w:p w:rsidR="006A7939" w:rsidRPr="00EC447D" w:rsidRDefault="006A7939" w:rsidP="006A7939">
          <w:pPr>
            <w:tabs>
              <w:tab w:val="center" w:pos="4419"/>
              <w:tab w:val="right" w:pos="8838"/>
            </w:tabs>
            <w:spacing w:after="0" w:line="240" w:lineRule="auto"/>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6A7939" w:rsidRPr="00EC447D" w:rsidRDefault="006A7939" w:rsidP="006A7939">
          <w:pPr>
            <w:spacing w:after="0" w:line="240" w:lineRule="auto"/>
            <w:jc w:val="both"/>
            <w:rPr>
              <w:rFonts w:ascii="Times New Roman" w:hAnsi="Times New Roman"/>
              <w:b/>
              <w:i/>
              <w:sz w:val="10"/>
            </w:rPr>
          </w:pPr>
          <w:r>
            <w:rPr>
              <w:rFonts w:ascii="Times New Roman" w:hAnsi="Times New Roman"/>
              <w:b/>
              <w:i/>
              <w:noProof/>
              <w:sz w:val="10"/>
              <w:lang w:eastAsia="pt-BR"/>
            </w:rPr>
            <mc:AlternateContent>
              <mc:Choice Requires="wps">
                <w:drawing>
                  <wp:anchor distT="0" distB="0" distL="114300" distR="114300" simplePos="0" relativeHeight="251662336" behindDoc="0" locked="0" layoutInCell="1" allowOverlap="1" wp14:anchorId="6605AB9D" wp14:editId="02958DE4">
                    <wp:simplePos x="0" y="0"/>
                    <wp:positionH relativeFrom="column">
                      <wp:posOffset>11430</wp:posOffset>
                    </wp:positionH>
                    <wp:positionV relativeFrom="paragraph">
                      <wp:posOffset>45085</wp:posOffset>
                    </wp:positionV>
                    <wp:extent cx="1776095" cy="0"/>
                    <wp:effectExtent l="11430" t="6985" r="12700" b="12065"/>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FB3A8" id="_x0000_t32" coordsize="21600,21600" o:spt="32" o:oned="t" path="m,l21600,21600e" filled="f">
                    <v:path arrowok="t" fillok="f" o:connecttype="none"/>
                    <o:lock v:ext="edit" shapetype="t"/>
                  </v:shapetype>
                  <v:shape id="Conector de Seta Reta 7" o:spid="_x0000_s1026" type="#_x0000_t32" style="position:absolute;margin-left:.9pt;margin-top:3.55pt;width:139.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"/>
                </w:pict>
              </mc:Fallback>
            </mc:AlternateContent>
          </w:r>
        </w:p>
        <w:p w:rsidR="006A7939" w:rsidRPr="006A7939" w:rsidRDefault="006A7939" w:rsidP="006A7939">
          <w:pPr>
            <w:pStyle w:val="NormalWeb"/>
            <w:shd w:val="clear" w:color="auto" w:fill="FFFFFF"/>
            <w:spacing w:before="0" w:beforeAutospacing="0" w:after="0" w:afterAutospacing="0"/>
            <w:rPr>
              <w:b/>
              <w:i/>
              <w:szCs w:val="26"/>
            </w:rPr>
          </w:pPr>
          <w:r w:rsidRPr="00EC447D">
            <w:rPr>
              <w:b/>
              <w:i/>
              <w:szCs w:val="26"/>
            </w:rPr>
            <w:t>Advogados</w:t>
          </w:r>
        </w:p>
      </w:tc>
      <w:tc>
        <w:tcPr>
          <w:tcW w:w="4961" w:type="dxa"/>
        </w:tcPr>
        <w:p w:rsidR="006A7939" w:rsidRPr="006A7939" w:rsidRDefault="006A7939" w:rsidP="006A7939">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w:t>
          </w:r>
          <w:proofErr w:type="spellStart"/>
          <w:r>
            <w:rPr>
              <w:b/>
              <w:i/>
              <w:sz w:val="18"/>
            </w:rPr>
            <w:t>Email</w:t>
          </w:r>
          <w:proofErr w:type="spellEnd"/>
          <w:r>
            <w:rPr>
              <w:b/>
              <w:i/>
              <w:sz w:val="18"/>
            </w:rPr>
            <w:t xml:space="preserve">: </w:t>
          </w:r>
          <w:hyperlink r:id="rId3" w:history="1">
            <w:r w:rsidRPr="00EC447D">
              <w:rPr>
                <w:rStyle w:val="Hyperlink"/>
                <w:b/>
                <w:i/>
                <w:sz w:val="18"/>
              </w:rPr>
              <w:t>juridico@agmcontabilidade.com.br</w:t>
            </w:r>
          </w:hyperlink>
        </w:p>
      </w:tc>
    </w:tr>
  </w:tbl>
  <w:p w:rsidR="006A7939" w:rsidRPr="00042934" w:rsidRDefault="006A7939" w:rsidP="006A7939">
    <w:pPr>
      <w:jc w:val="center"/>
      <w:rPr>
        <w:rFonts w:cs="Arial"/>
        <w:b/>
        <w:i/>
        <w:sz w:val="18"/>
        <w:u w:val="single"/>
      </w:rPr>
    </w:pPr>
    <w:r>
      <w:rPr>
        <w:rFonts w:cs="Arial"/>
        <w:b/>
        <w:i/>
        <w:noProof/>
        <w:sz w:val="18"/>
        <w:u w:val="single"/>
        <w:lang w:eastAsia="pt-BR"/>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48895</wp:posOffset>
              </wp:positionV>
              <wp:extent cx="6224270" cy="0"/>
              <wp:effectExtent l="10795" t="10795" r="13335" b="8255"/>
              <wp:wrapNone/>
              <wp:docPr id="5"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E4382" id="Conector de Seta Reta 5" o:spid="_x0000_s1026" type="#_x0000_t32" style="position:absolute;margin-left:.1pt;margin-top:3.85pt;width:49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"/>
          </w:pict>
        </mc:Fallback>
      </mc:AlternateContent>
    </w:r>
  </w:p>
  <w:p w:rsidR="006A7939" w:rsidRPr="006A7939" w:rsidRDefault="006A7939" w:rsidP="006A793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E3"/>
    <w:rsid w:val="00173A54"/>
    <w:rsid w:val="001E4778"/>
    <w:rsid w:val="003141F9"/>
    <w:rsid w:val="00433306"/>
    <w:rsid w:val="00566EAE"/>
    <w:rsid w:val="005A5599"/>
    <w:rsid w:val="00656E30"/>
    <w:rsid w:val="006A7939"/>
    <w:rsid w:val="008B7F9D"/>
    <w:rsid w:val="009F042B"/>
    <w:rsid w:val="00BC0F5A"/>
    <w:rsid w:val="00CE1D91"/>
    <w:rsid w:val="00F014E3"/>
    <w:rsid w:val="00FB58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2C33E6C"/>
  <w15:chartTrackingRefBased/>
  <w15:docId w15:val="{8C38A6A8-BB26-4058-9FA0-EAD28AFB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E1D91"/>
    <w:rPr>
      <w:b/>
      <w:bCs/>
    </w:rPr>
  </w:style>
  <w:style w:type="character" w:styleId="Hyperlink">
    <w:name w:val="Hyperlink"/>
    <w:basedOn w:val="Fontepargpadro"/>
    <w:uiPriority w:val="99"/>
    <w:unhideWhenUsed/>
    <w:rsid w:val="00CE1D91"/>
    <w:rPr>
      <w:color w:val="0000FF"/>
      <w:u w:val="single"/>
    </w:rPr>
  </w:style>
  <w:style w:type="paragraph" w:styleId="NormalWeb">
    <w:name w:val="Normal (Web)"/>
    <w:basedOn w:val="Normal"/>
    <w:uiPriority w:val="99"/>
    <w:unhideWhenUsed/>
    <w:rsid w:val="008B7F9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6A7939"/>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nhideWhenUsed/>
    <w:rsid w:val="006A7939"/>
    <w:pPr>
      <w:tabs>
        <w:tab w:val="center" w:pos="4252"/>
        <w:tab w:val="right" w:pos="8504"/>
      </w:tabs>
      <w:spacing w:after="0" w:line="240" w:lineRule="auto"/>
    </w:pPr>
  </w:style>
  <w:style w:type="character" w:customStyle="1" w:styleId="CabealhoChar">
    <w:name w:val="Cabeçalho Char"/>
    <w:basedOn w:val="Fontepargpadro"/>
    <w:link w:val="Cabealho"/>
    <w:rsid w:val="006A7939"/>
  </w:style>
  <w:style w:type="paragraph" w:styleId="Rodap">
    <w:name w:val="footer"/>
    <w:basedOn w:val="Normal"/>
    <w:link w:val="RodapChar"/>
    <w:uiPriority w:val="99"/>
    <w:unhideWhenUsed/>
    <w:rsid w:val="006A7939"/>
    <w:pPr>
      <w:tabs>
        <w:tab w:val="center" w:pos="4252"/>
        <w:tab w:val="right" w:pos="8504"/>
      </w:tabs>
      <w:spacing w:after="0" w:line="240" w:lineRule="auto"/>
    </w:pPr>
  </w:style>
  <w:style w:type="character" w:customStyle="1" w:styleId="RodapChar">
    <w:name w:val="Rodapé Char"/>
    <w:basedOn w:val="Fontepargpadro"/>
    <w:link w:val="Rodap"/>
    <w:uiPriority w:val="99"/>
    <w:rsid w:val="006A7939"/>
  </w:style>
  <w:style w:type="character" w:styleId="Nmerodepgina">
    <w:name w:val="page number"/>
    <w:basedOn w:val="Fontepargpadro"/>
    <w:semiHidden/>
    <w:rsid w:val="006A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616354">
      <w:bodyDiv w:val="1"/>
      <w:marLeft w:val="0"/>
      <w:marRight w:val="0"/>
      <w:marTop w:val="0"/>
      <w:marBottom w:val="0"/>
      <w:divBdr>
        <w:top w:val="none" w:sz="0" w:space="0" w:color="auto"/>
        <w:left w:val="none" w:sz="0" w:space="0" w:color="auto"/>
        <w:bottom w:val="none" w:sz="0" w:space="0" w:color="auto"/>
        <w:right w:val="none" w:sz="0" w:space="0" w:color="auto"/>
      </w:divBdr>
      <w:divsChild>
        <w:div w:id="945847695">
          <w:blockQuote w:val="1"/>
          <w:marLeft w:val="720"/>
          <w:marRight w:val="0"/>
          <w:marTop w:val="480"/>
          <w:marBottom w:val="0"/>
          <w:divBdr>
            <w:top w:val="none" w:sz="0" w:space="0" w:color="auto"/>
            <w:left w:val="none" w:sz="0" w:space="0" w:color="auto"/>
            <w:bottom w:val="none" w:sz="0" w:space="0" w:color="auto"/>
            <w:right w:val="none" w:sz="0" w:space="0" w:color="auto"/>
          </w:divBdr>
        </w:div>
        <w:div w:id="1984772977">
          <w:blockQuote w:val="1"/>
          <w:marLeft w:val="720"/>
          <w:marRight w:val="0"/>
          <w:marTop w:val="480"/>
          <w:marBottom w:val="0"/>
          <w:divBdr>
            <w:top w:val="none" w:sz="0" w:space="0" w:color="auto"/>
            <w:left w:val="none" w:sz="0" w:space="0" w:color="auto"/>
            <w:bottom w:val="none" w:sz="0" w:space="0" w:color="auto"/>
            <w:right w:val="none" w:sz="0" w:space="0" w:color="auto"/>
          </w:divBdr>
        </w:div>
        <w:div w:id="128330035">
          <w:blockQuote w:val="1"/>
          <w:marLeft w:val="720"/>
          <w:marRight w:val="0"/>
          <w:marTop w:val="480"/>
          <w:marBottom w:val="0"/>
          <w:divBdr>
            <w:top w:val="none" w:sz="0" w:space="0" w:color="auto"/>
            <w:left w:val="none" w:sz="0" w:space="0" w:color="auto"/>
            <w:bottom w:val="none" w:sz="0" w:space="0" w:color="auto"/>
            <w:right w:val="none" w:sz="0" w:space="0" w:color="auto"/>
          </w:divBdr>
        </w:div>
        <w:div w:id="252471041">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623071877">
      <w:bodyDiv w:val="1"/>
      <w:marLeft w:val="0"/>
      <w:marRight w:val="0"/>
      <w:marTop w:val="0"/>
      <w:marBottom w:val="0"/>
      <w:divBdr>
        <w:top w:val="none" w:sz="0" w:space="0" w:color="auto"/>
        <w:left w:val="none" w:sz="0" w:space="0" w:color="auto"/>
        <w:bottom w:val="none" w:sz="0" w:space="0" w:color="auto"/>
        <w:right w:val="none" w:sz="0" w:space="0" w:color="auto"/>
      </w:divBdr>
    </w:div>
    <w:div w:id="1877233450">
      <w:bodyDiv w:val="1"/>
      <w:marLeft w:val="0"/>
      <w:marRight w:val="0"/>
      <w:marTop w:val="0"/>
      <w:marBottom w:val="0"/>
      <w:divBdr>
        <w:top w:val="none" w:sz="0" w:space="0" w:color="auto"/>
        <w:left w:val="none" w:sz="0" w:space="0" w:color="auto"/>
        <w:bottom w:val="none" w:sz="0" w:space="0" w:color="auto"/>
        <w:right w:val="none" w:sz="0" w:space="0" w:color="auto"/>
      </w:divBdr>
    </w:div>
    <w:div w:id="1911767973">
      <w:bodyDiv w:val="1"/>
      <w:marLeft w:val="0"/>
      <w:marRight w:val="0"/>
      <w:marTop w:val="0"/>
      <w:marBottom w:val="0"/>
      <w:divBdr>
        <w:top w:val="none" w:sz="0" w:space="0" w:color="auto"/>
        <w:left w:val="none" w:sz="0" w:space="0" w:color="auto"/>
        <w:bottom w:val="none" w:sz="0" w:space="0" w:color="auto"/>
        <w:right w:val="none" w:sz="0" w:space="0" w:color="auto"/>
      </w:divBdr>
    </w:div>
    <w:div w:id="21066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brasil.com.br/legislacao/104422/lei-da-assist%C3%AAncia-social-lei-8742-9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823</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User</cp:lastModifiedBy>
  <cp:revision>8</cp:revision>
  <dcterms:created xsi:type="dcterms:W3CDTF">2022-06-23T18:52:00Z</dcterms:created>
  <dcterms:modified xsi:type="dcterms:W3CDTF">2022-06-23T20:03:00Z</dcterms:modified>
</cp:coreProperties>
</file>