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DD" w:rsidRDefault="004C45DD" w:rsidP="004C45DD">
      <w:pPr>
        <w:jc w:val="both"/>
        <w:rPr>
          <w:rFonts w:ascii="Times New Roman" w:hAnsi="Times New Roman"/>
          <w:b/>
          <w:bCs/>
        </w:rPr>
      </w:pPr>
    </w:p>
    <w:p w:rsidR="004C45DD" w:rsidRDefault="004C5249" w:rsidP="004C45DD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À</w:t>
      </w:r>
      <w:r w:rsidR="004C45DD">
        <w:rPr>
          <w:rFonts w:ascii="Times New Roman" w:hAnsi="Times New Roman"/>
          <w:b/>
          <w:bCs/>
        </w:rPr>
        <w:t xml:space="preserve"> Secretaria de </w:t>
      </w:r>
      <w:proofErr w:type="spellStart"/>
      <w:r w:rsidR="004C45DD">
        <w:rPr>
          <w:rFonts w:ascii="Times New Roman" w:hAnsi="Times New Roman"/>
          <w:b/>
          <w:bCs/>
        </w:rPr>
        <w:t>Fazenda-MS</w:t>
      </w:r>
      <w:proofErr w:type="spellEnd"/>
    </w:p>
    <w:p w:rsidR="004C45DD" w:rsidRDefault="004C45DD" w:rsidP="004C45DD">
      <w:pPr>
        <w:jc w:val="both"/>
        <w:rPr>
          <w:rFonts w:ascii="Times New Roman" w:hAnsi="Times New Roman"/>
          <w:b/>
          <w:bCs/>
        </w:rPr>
      </w:pPr>
    </w:p>
    <w:p w:rsidR="004C45DD" w:rsidRDefault="004C45DD" w:rsidP="004C45DD">
      <w:pPr>
        <w:jc w:val="both"/>
        <w:rPr>
          <w:rFonts w:ascii="Times New Roman" w:hAnsi="Times New Roman"/>
          <w:b/>
          <w:bCs/>
        </w:rPr>
      </w:pPr>
    </w:p>
    <w:p w:rsidR="004C45DD" w:rsidRDefault="004C45DD" w:rsidP="004C45DD">
      <w:pPr>
        <w:jc w:val="both"/>
        <w:rPr>
          <w:rFonts w:ascii="Times New Roman" w:hAnsi="Times New Roman"/>
          <w:b/>
          <w:bCs/>
        </w:rPr>
      </w:pPr>
    </w:p>
    <w:p w:rsidR="004C45DD" w:rsidRDefault="00D43581" w:rsidP="004C45DD">
      <w:pPr>
        <w:suppressAutoHyphens/>
        <w:spacing w:after="240"/>
        <w:jc w:val="both"/>
      </w:pPr>
      <w:r>
        <w:rPr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AutoShape 3" o:spid="_x0000_s1030" type="#_x0000_t47" style="position:absolute;left:0;text-align:left;margin-left:322.7pt;margin-top:5.05pt;width:186.9pt;height:22.4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" adj="-36158,26652,20331,27373">
            <v:textbox style="mso-next-textbox:#AutoShape 3">
              <w:txbxContent>
                <w:p w:rsidR="004C45DD" w:rsidRDefault="004C45DD" w:rsidP="004C45DD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MAGALY CINTRA BISSACOT,</w:t>
                  </w:r>
                </w:p>
                <w:p w:rsidR="004C45DD" w:rsidRDefault="004C45DD" w:rsidP="004C45DD">
                  <w:pPr>
                    <w:pStyle w:val="NormalWeb"/>
                    <w:spacing w:before="0" w:beforeAutospacing="0" w:after="0" w:afterAutospacing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b/>
                    </w:rPr>
                    <w:t>cpof</w:t>
                  </w:r>
                  <w:proofErr w:type="spellEnd"/>
                </w:p>
              </w:txbxContent>
            </v:textbox>
          </v:shape>
        </w:pict>
      </w:r>
    </w:p>
    <w:p w:rsidR="004C45DD" w:rsidRDefault="004C45DD" w:rsidP="004C45DD"/>
    <w:p w:rsidR="004C45DD" w:rsidRPr="00F72D3C" w:rsidRDefault="004C45DD" w:rsidP="004C45DD">
      <w:pPr>
        <w:spacing w:line="360" w:lineRule="auto"/>
        <w:jc w:val="both"/>
        <w:rPr>
          <w:rFonts w:ascii="Segoe UI" w:hAnsi="Segoe UI" w:cs="Segoe UI"/>
          <w:sz w:val="28"/>
          <w:szCs w:val="24"/>
        </w:rPr>
      </w:pPr>
      <w:r>
        <w:t xml:space="preserve">portadora do RG nº </w:t>
      </w:r>
      <w:r w:rsidRPr="008E62C0">
        <w:t>13041783</w:t>
      </w:r>
      <w:r>
        <w:t xml:space="preserve">/SSP-MS, inscrita no CPF/MF nº </w:t>
      </w:r>
      <w:r w:rsidRPr="008E62C0">
        <w:t>117.164.128</w:t>
      </w:r>
      <w:r>
        <w:t xml:space="preserve">-11, residente na </w:t>
      </w:r>
      <w:r w:rsidRPr="008E62C0">
        <w:t xml:space="preserve">Rua </w:t>
      </w:r>
      <w:proofErr w:type="spellStart"/>
      <w:r w:rsidRPr="008E62C0">
        <w:t>Virgilina</w:t>
      </w:r>
      <w:proofErr w:type="spellEnd"/>
      <w:r w:rsidRPr="008E62C0">
        <w:t>, 328</w:t>
      </w:r>
      <w:r>
        <w:t>, Bairro Antônio Vendas, Cep: 79.003-</w:t>
      </w:r>
      <w:r w:rsidRPr="00052884">
        <w:rPr>
          <w:szCs w:val="24"/>
        </w:rPr>
        <w:t xml:space="preserve">140, na cidade de Campo </w:t>
      </w:r>
      <w:proofErr w:type="spellStart"/>
      <w:r w:rsidRPr="00052884">
        <w:rPr>
          <w:szCs w:val="24"/>
        </w:rPr>
        <w:t>Grande-MS</w:t>
      </w:r>
      <w:proofErr w:type="spellEnd"/>
      <w:r w:rsidRPr="00052884">
        <w:rPr>
          <w:szCs w:val="24"/>
        </w:rPr>
        <w:t xml:space="preserve">, viúva, </w:t>
      </w:r>
      <w:r w:rsidRPr="00486CBC">
        <w:rPr>
          <w:b/>
          <w:szCs w:val="24"/>
        </w:rPr>
        <w:t xml:space="preserve">inventariante de </w:t>
      </w:r>
      <w:r w:rsidRPr="00486CBC">
        <w:rPr>
          <w:b/>
          <w:i/>
          <w:szCs w:val="24"/>
        </w:rPr>
        <w:t xml:space="preserve">Orlando </w:t>
      </w:r>
      <w:proofErr w:type="spellStart"/>
      <w:r w:rsidRPr="00486CBC">
        <w:rPr>
          <w:b/>
          <w:i/>
          <w:szCs w:val="24"/>
        </w:rPr>
        <w:t>Bissacot</w:t>
      </w:r>
      <w:proofErr w:type="spellEnd"/>
      <w:r w:rsidRPr="00486CBC">
        <w:rPr>
          <w:b/>
          <w:i/>
          <w:szCs w:val="24"/>
        </w:rPr>
        <w:t xml:space="preserve"> Filho</w:t>
      </w:r>
      <w:r w:rsidRPr="00486CBC">
        <w:rPr>
          <w:b/>
          <w:szCs w:val="24"/>
        </w:rPr>
        <w:t>,</w:t>
      </w:r>
      <w:r w:rsidRPr="00052884">
        <w:rPr>
          <w:szCs w:val="24"/>
        </w:rPr>
        <w:t xml:space="preserve"> CPF nº 003.711.731-9</w:t>
      </w:r>
      <w:r>
        <w:rPr>
          <w:szCs w:val="24"/>
        </w:rPr>
        <w:t>, v</w:t>
      </w:r>
      <w:r>
        <w:rPr>
          <w:rFonts w:ascii="Segoe UI" w:hAnsi="Segoe UI" w:cs="Segoe UI"/>
          <w:bCs/>
          <w:color w:val="222222"/>
          <w:szCs w:val="22"/>
          <w:shd w:val="clear" w:color="auto" w:fill="FFFFFF"/>
        </w:rPr>
        <w:t>em apresentar:</w:t>
      </w:r>
    </w:p>
    <w:p w:rsidR="004C45DD" w:rsidRDefault="004C45DD" w:rsidP="004C45DD">
      <w:pPr>
        <w:jc w:val="both"/>
        <w:rPr>
          <w:rFonts w:cs="Arial"/>
          <w:szCs w:val="24"/>
        </w:rPr>
      </w:pPr>
    </w:p>
    <w:p w:rsidR="004C45DD" w:rsidRDefault="00D43581" w:rsidP="004C45DD">
      <w:pPr>
        <w:spacing w:line="360" w:lineRule="auto"/>
        <w:jc w:val="both"/>
        <w:rPr>
          <w:rFonts w:cs="Arial"/>
        </w:rPr>
      </w:pPr>
      <w:r>
        <w:rPr>
          <w:rFonts w:cs="Arial"/>
          <w:b/>
          <w:b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08.7pt;margin-top:9.55pt;width:36pt;height:72.85pt;flip:x;z-index:251660288" o:connectortype="straight" strokecolor="red" strokeweight="2.25pt"/>
        </w:pict>
      </w:r>
      <w:r>
        <w:rPr>
          <w:rFonts w:cs="Arial"/>
          <w:noProof/>
        </w:rPr>
        <w:pict>
          <v:shape id="_x0000_s1027" type="#_x0000_t32" style="position:absolute;left:0;text-align:left;margin-left:42.65pt;margin-top:14.2pt;width:37.65pt;height:68.2pt;z-index:251659264" o:connectortype="straight" strokecolor="red" strokeweight="2.25pt">
            <v:shadow type="perspective" color="#622423" opacity=".5" offset="1pt" offset2="-1pt"/>
          </v:shape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4C45DD" w:rsidRPr="00EE6252" w:rsidTr="0087504D">
        <w:trPr>
          <w:jc w:val="center"/>
        </w:trPr>
        <w:tc>
          <w:tcPr>
            <w:tcW w:w="567" w:type="dxa"/>
          </w:tcPr>
          <w:p w:rsidR="004C45DD" w:rsidRPr="00EE6252" w:rsidRDefault="004C45DD" w:rsidP="0087504D">
            <w:pPr>
              <w:jc w:val="both"/>
              <w:rPr>
                <w:rFonts w:cs="Arial"/>
              </w:rPr>
            </w:pPr>
          </w:p>
        </w:tc>
        <w:tc>
          <w:tcPr>
            <w:tcW w:w="7087" w:type="dxa"/>
          </w:tcPr>
          <w:p w:rsidR="004C45DD" w:rsidRPr="006D540B" w:rsidRDefault="004C45DD" w:rsidP="0087504D">
            <w:pPr>
              <w:jc w:val="center"/>
              <w:rPr>
                <w:rFonts w:asciiTheme="majorHAnsi" w:hAnsiTheme="majorHAnsi" w:cs="Arial"/>
                <w:b/>
                <w:bCs/>
                <w:color w:val="4F81BD" w:themeColor="accent1"/>
                <w:sz w:val="28"/>
                <w:u w:val="single"/>
              </w:rPr>
            </w:pPr>
            <w:r>
              <w:rPr>
                <w:rFonts w:asciiTheme="majorHAnsi" w:hAnsiTheme="majorHAnsi" w:cs="Arial"/>
                <w:b/>
                <w:bCs/>
                <w:color w:val="4F81BD" w:themeColor="accent1"/>
                <w:sz w:val="28"/>
                <w:u w:val="single"/>
              </w:rPr>
              <w:t>MANIFESTAÇÃO SOBRE CÁLCULO DE ITCMD</w:t>
            </w:r>
            <w:r w:rsidRPr="006D540B">
              <w:rPr>
                <w:rFonts w:asciiTheme="majorHAnsi" w:hAnsiTheme="majorHAnsi" w:cs="Arial"/>
                <w:b/>
                <w:bCs/>
                <w:color w:val="4F81BD" w:themeColor="accent1"/>
                <w:sz w:val="28"/>
                <w:u w:val="single"/>
              </w:rPr>
              <w:t>.</w:t>
            </w:r>
          </w:p>
          <w:p w:rsidR="004C45DD" w:rsidRPr="00FA5586" w:rsidRDefault="004C45DD" w:rsidP="0087504D">
            <w:pPr>
              <w:jc w:val="center"/>
              <w:rPr>
                <w:rFonts w:cs="Arial"/>
                <w:b/>
                <w:bCs/>
                <w:sz w:val="28"/>
                <w:u w:val="single"/>
              </w:rPr>
            </w:pPr>
          </w:p>
        </w:tc>
        <w:tc>
          <w:tcPr>
            <w:tcW w:w="567" w:type="dxa"/>
          </w:tcPr>
          <w:p w:rsidR="004C45DD" w:rsidRPr="00EE6252" w:rsidRDefault="004C45DD" w:rsidP="0087504D">
            <w:pPr>
              <w:jc w:val="both"/>
              <w:rPr>
                <w:rFonts w:cs="Arial"/>
              </w:rPr>
            </w:pPr>
          </w:p>
        </w:tc>
      </w:tr>
    </w:tbl>
    <w:p w:rsidR="004C45DD" w:rsidRDefault="004C45DD" w:rsidP="00C246CE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="Segoe UI" w:hAnsi="Segoe UI" w:cs="Segoe UI"/>
        </w:rPr>
      </w:pPr>
    </w:p>
    <w:p w:rsidR="004C45DD" w:rsidRDefault="004C45DD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4C45DD" w:rsidRDefault="004C45DD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Após requerimento para que fosse efetuado cálculo de ITCMD</w:t>
      </w:r>
      <w:r w:rsidR="0052542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sobre inventário, </w:t>
      </w:r>
      <w:r w:rsidR="00525420">
        <w:rPr>
          <w:rFonts w:ascii="Arial" w:hAnsi="Arial" w:cs="Arial"/>
        </w:rPr>
        <w:t xml:space="preserve">por esta Secretaria, </w:t>
      </w:r>
      <w:r>
        <w:rPr>
          <w:rFonts w:ascii="Arial" w:hAnsi="Arial" w:cs="Arial"/>
        </w:rPr>
        <w:t>sobreveio a informação</w:t>
      </w:r>
      <w:r w:rsidR="00525420">
        <w:rPr>
          <w:rFonts w:ascii="Arial" w:hAnsi="Arial" w:cs="Arial"/>
        </w:rPr>
        <w:t xml:space="preserve"> que a apuração englobaria a totalidade </w:t>
      </w:r>
      <w:r w:rsidR="004758D7">
        <w:rPr>
          <w:rFonts w:ascii="Arial" w:hAnsi="Arial" w:cs="Arial"/>
        </w:rPr>
        <w:t xml:space="preserve">do capital social da empresa do </w:t>
      </w:r>
      <w:r w:rsidR="004758D7" w:rsidRPr="004758D7">
        <w:rPr>
          <w:rFonts w:ascii="Arial" w:hAnsi="Arial" w:cs="Arial"/>
          <w:i/>
        </w:rPr>
        <w:t>“de cujus”</w:t>
      </w:r>
      <w:r w:rsidR="008D4C6A">
        <w:rPr>
          <w:rFonts w:ascii="Arial" w:hAnsi="Arial" w:cs="Arial"/>
          <w:i/>
        </w:rPr>
        <w:t>.</w:t>
      </w:r>
    </w:p>
    <w:p w:rsidR="008D4C6A" w:rsidRDefault="008D4C6A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D4C6A" w:rsidRDefault="008D4C6A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Em que pese o entendimento do técnico fazendário que emitiu tal parecer, o cálculo proposto não pode prosperar, dado que há muito está sedimentado pelos diversos tribunais do país que para o efetivo cálculo de ITCMD, quando envolver empresa por responsabilidade de cotas – LTDA, deve-se apurar o patrimônio líquido da empresa no momento anterior ao óbito, incidindo </w:t>
      </w:r>
      <w:r w:rsidR="001823F5">
        <w:rPr>
          <w:rFonts w:ascii="Arial" w:hAnsi="Arial" w:cs="Arial"/>
        </w:rPr>
        <w:t>na base de cálculo d</w:t>
      </w:r>
      <w:r>
        <w:rPr>
          <w:rFonts w:ascii="Arial" w:hAnsi="Arial" w:cs="Arial"/>
        </w:rPr>
        <w:t xml:space="preserve">o imposto </w:t>
      </w:r>
      <w:r w:rsidR="001823F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valor encontrado</w:t>
      </w:r>
      <w:r w:rsidR="001823F5">
        <w:rPr>
          <w:rFonts w:ascii="Arial" w:hAnsi="Arial" w:cs="Arial"/>
        </w:rPr>
        <w:t xml:space="preserve"> do patrimônio líquido e não a totalidade do capital social</w:t>
      </w:r>
      <w:r>
        <w:rPr>
          <w:rFonts w:ascii="Arial" w:hAnsi="Arial" w:cs="Arial"/>
        </w:rPr>
        <w:t>.</w:t>
      </w:r>
    </w:p>
    <w:p w:rsidR="008D4C6A" w:rsidRPr="001823F5" w:rsidRDefault="008D4C6A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5842BC" w:rsidRDefault="005842BC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6171">
        <w:rPr>
          <w:rFonts w:ascii="Arial" w:hAnsi="Arial" w:cs="Arial"/>
        </w:rPr>
        <w:t xml:space="preserve">No magistério do Professor </w:t>
      </w:r>
      <w:r w:rsidR="005F6171" w:rsidRPr="005F6171">
        <w:rPr>
          <w:rFonts w:ascii="Arial" w:hAnsi="Arial" w:cs="Arial"/>
        </w:rPr>
        <w:t>Paulo Alberto de Oliveira</w:t>
      </w:r>
      <w:r w:rsidR="005F6171">
        <w:rPr>
          <w:rFonts w:ascii="Arial" w:hAnsi="Arial" w:cs="Arial"/>
        </w:rPr>
        <w:t xml:space="preserve">, o </w:t>
      </w:r>
      <w:r w:rsidR="001823F5" w:rsidRPr="001823F5">
        <w:rPr>
          <w:rFonts w:ascii="Arial" w:hAnsi="Arial" w:cs="Arial"/>
        </w:rPr>
        <w:t xml:space="preserve">imposto devido sobre a transferência causa mortis da empresa, da qual o </w:t>
      </w:r>
      <w:r w:rsidRPr="005842BC">
        <w:rPr>
          <w:rFonts w:ascii="Arial" w:hAnsi="Arial" w:cs="Arial"/>
          <w:i/>
        </w:rPr>
        <w:t>“</w:t>
      </w:r>
      <w:r w:rsidR="001823F5" w:rsidRPr="005842BC">
        <w:rPr>
          <w:rFonts w:ascii="Arial" w:hAnsi="Arial" w:cs="Arial"/>
          <w:i/>
        </w:rPr>
        <w:t>de cujus</w:t>
      </w:r>
      <w:r w:rsidRPr="005842BC">
        <w:rPr>
          <w:rFonts w:ascii="Arial" w:hAnsi="Arial" w:cs="Arial"/>
          <w:i/>
        </w:rPr>
        <w:t>”</w:t>
      </w:r>
      <w:r w:rsidR="001823F5" w:rsidRPr="001823F5">
        <w:rPr>
          <w:rFonts w:ascii="Arial" w:hAnsi="Arial" w:cs="Arial"/>
        </w:rPr>
        <w:t xml:space="preserve"> detinha a </w:t>
      </w:r>
      <w:r>
        <w:rPr>
          <w:rFonts w:ascii="Arial" w:hAnsi="Arial" w:cs="Arial"/>
        </w:rPr>
        <w:t>minoria</w:t>
      </w:r>
      <w:r w:rsidR="001823F5" w:rsidRPr="001823F5">
        <w:rPr>
          <w:rFonts w:ascii="Arial" w:hAnsi="Arial" w:cs="Arial"/>
        </w:rPr>
        <w:t xml:space="preserve"> das cotas, deve refletir o valor dos bens que integram o capital social e não o valor estático das cotas sociais. </w:t>
      </w:r>
    </w:p>
    <w:p w:rsidR="005842BC" w:rsidRDefault="005842BC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5842BC" w:rsidRDefault="005842BC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23F5" w:rsidRPr="001823F5">
        <w:rPr>
          <w:rFonts w:ascii="Arial" w:hAnsi="Arial" w:cs="Arial"/>
        </w:rPr>
        <w:t xml:space="preserve">Caso contrário, o imposto incidiria sobre valores arbitrariamente fixados pelo contribuinte, em detrimento dos critérios objetivos fixados em lei, a serem observados indistintamente por todos aqueles que devem o tributo. </w:t>
      </w:r>
    </w:p>
    <w:p w:rsidR="005842BC" w:rsidRDefault="005842BC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61080" w:rsidRDefault="005842BC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23F5" w:rsidRPr="001823F5">
        <w:rPr>
          <w:rFonts w:ascii="Arial" w:hAnsi="Arial" w:cs="Arial"/>
        </w:rPr>
        <w:t xml:space="preserve">Conforme art. 38 do Código Tributário Nacional, a base de cálculo do imposto sobre transmissão causa mortis e doação de quaisquer bens ou direitos será o valor venal dos bens ou direitos transmitidos. </w:t>
      </w:r>
    </w:p>
    <w:p w:rsidR="00861080" w:rsidRDefault="00861080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61080" w:rsidRDefault="00861080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23F5" w:rsidRPr="001823F5">
        <w:rPr>
          <w:rFonts w:ascii="Arial" w:hAnsi="Arial" w:cs="Arial"/>
        </w:rPr>
        <w:t xml:space="preserve">Representará o valor de mercado do bem objeto da transmissão, não devendo superá-lo. O cálculo é feito sobre o valor dos bens na data da avaliação, observada a alíquota vigente na data da abertura da sucessão. </w:t>
      </w:r>
    </w:p>
    <w:p w:rsidR="00861080" w:rsidRDefault="00861080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61080" w:rsidRDefault="00861080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23F5" w:rsidRPr="001823F5">
        <w:rPr>
          <w:rFonts w:ascii="Arial" w:hAnsi="Arial" w:cs="Arial"/>
        </w:rPr>
        <w:t>Por outro lado, o termo cota indica a contribuição de bens dos sócios para a formação do patrimônio social (capital social), com a finalidade de viabilizar economicamente a sociedade e a realização de seu objeto social (</w:t>
      </w:r>
      <w:proofErr w:type="spellStart"/>
      <w:r w:rsidR="001823F5" w:rsidRPr="001823F5">
        <w:rPr>
          <w:rFonts w:ascii="Arial" w:hAnsi="Arial" w:cs="Arial"/>
        </w:rPr>
        <w:t>Finkelstein</w:t>
      </w:r>
      <w:proofErr w:type="spellEnd"/>
      <w:r w:rsidR="001823F5" w:rsidRPr="001823F5">
        <w:rPr>
          <w:rFonts w:ascii="Arial" w:hAnsi="Arial" w:cs="Arial"/>
        </w:rPr>
        <w:t xml:space="preserve">, Maria </w:t>
      </w:r>
      <w:proofErr w:type="spellStart"/>
      <w:r w:rsidR="001823F5" w:rsidRPr="001823F5">
        <w:rPr>
          <w:rFonts w:ascii="Arial" w:hAnsi="Arial" w:cs="Arial"/>
        </w:rPr>
        <w:t>Eugência</w:t>
      </w:r>
      <w:proofErr w:type="spellEnd"/>
      <w:r w:rsidR="001823F5" w:rsidRPr="001823F5">
        <w:rPr>
          <w:rFonts w:ascii="Arial" w:hAnsi="Arial" w:cs="Arial"/>
        </w:rPr>
        <w:t xml:space="preserve">, Coordenadora – Direito Empresarial, Volume 1, Coleção Doutrina, Processos e Procedimentos, editora Revista dos Tribunais, 2015, p. 475/476). </w:t>
      </w:r>
    </w:p>
    <w:p w:rsidR="00861080" w:rsidRDefault="00861080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61080" w:rsidRDefault="00861080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23F5" w:rsidRPr="001823F5">
        <w:rPr>
          <w:rFonts w:ascii="Arial" w:hAnsi="Arial" w:cs="Arial"/>
        </w:rPr>
        <w:t xml:space="preserve">A sociedade por cotas de responsabilidade limitada é formada pelas contribuições individuais de cada sócio, as quais, somadas, vão compor o capital social. </w:t>
      </w:r>
    </w:p>
    <w:p w:rsidR="00861080" w:rsidRDefault="00861080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823F5" w:rsidRPr="001823F5" w:rsidRDefault="00861080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23F5" w:rsidRPr="001823F5">
        <w:rPr>
          <w:rFonts w:ascii="Arial" w:hAnsi="Arial" w:cs="Arial"/>
        </w:rPr>
        <w:t>Ademais, a integralização significa o efetivo pagamento das cotas subscritas, de modo que integralizar é realizar o capital social.</w:t>
      </w:r>
    </w:p>
    <w:p w:rsidR="001823F5" w:rsidRPr="00DA24EF" w:rsidRDefault="001823F5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463BAF" w:rsidRPr="00DA24EF" w:rsidRDefault="00DA24EF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3BAF" w:rsidRPr="00DA24EF">
        <w:rPr>
          <w:rFonts w:ascii="Arial" w:hAnsi="Arial" w:cs="Arial"/>
        </w:rPr>
        <w:t>Não há dúvidas de que o ITC</w:t>
      </w:r>
      <w:r w:rsidRPr="00DA24EF">
        <w:rPr>
          <w:rFonts w:ascii="Arial" w:hAnsi="Arial" w:cs="Arial"/>
        </w:rPr>
        <w:t>M</w:t>
      </w:r>
      <w:r w:rsidR="00463BAF" w:rsidRPr="00DA24EF">
        <w:rPr>
          <w:rFonts w:ascii="Arial" w:hAnsi="Arial" w:cs="Arial"/>
        </w:rPr>
        <w:t>D deve incidir sobre o valor venal do bem transmitido. Essa é a dicção tanto do art. 38, da Lei nº 5.172, de 25/10/1966 (Código Tributário Nacional), quanto do art. 127, da Lei Estadual nº 1.810, de 22/12/1997 – que dispõe sobre os tributos de competência do Estado de Mato Grosso do Sul. Por valor venal se entende o valor de mercado do bem, ou seja, aquele que mais se aproxima da realidade</w:t>
      </w:r>
    </w:p>
    <w:p w:rsidR="00463BAF" w:rsidRPr="00DA24EF" w:rsidRDefault="00463BAF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DA24EF" w:rsidRDefault="00DA24EF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4ED7" w:rsidRPr="00DA24EF">
        <w:rPr>
          <w:rFonts w:ascii="Arial" w:hAnsi="Arial" w:cs="Arial"/>
        </w:rPr>
        <w:t xml:space="preserve">E, como se sabe, por imposição constitucional, deve-se respeitar a capacidade contributiva, a teor do art. 145, § 1º, da Constituição Federal/88: </w:t>
      </w:r>
    </w:p>
    <w:p w:rsidR="00DA24EF" w:rsidRDefault="00DA24EF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463BAF" w:rsidRPr="00DA24EF" w:rsidRDefault="00F94ED7" w:rsidP="00DA24EF">
      <w:pPr>
        <w:pStyle w:val="NormalWeb"/>
        <w:shd w:val="clear" w:color="auto" w:fill="FFFFFF"/>
        <w:spacing w:before="0" w:beforeAutospacing="0" w:after="0" w:afterAutospacing="0"/>
        <w:ind w:left="3545"/>
        <w:jc w:val="both"/>
        <w:rPr>
          <w:rFonts w:asciiTheme="minorHAnsi" w:hAnsiTheme="minorHAnsi" w:cs="Arial"/>
        </w:rPr>
      </w:pPr>
      <w:r w:rsidRPr="00DA24EF">
        <w:rPr>
          <w:rFonts w:asciiTheme="minorHAnsi" w:hAnsiTheme="minorHAnsi" w:cs="Arial"/>
          <w:sz w:val="22"/>
        </w:rPr>
        <w:t>"Art. 145 - [...] § 1º - Sempre que possível, os impostos terão caráter pessoal e serão graduados segundo a capacidade econômica do contribuinte, facultado à administração tributária, especialmente para conferir efetividade a esses objetivos, identificar, respeitados os direitos individuais e nos termos da lei, o patrimônio, os rendimentos e as atividades econômicas do contribuinte."</w:t>
      </w:r>
    </w:p>
    <w:p w:rsidR="00DA24EF" w:rsidRDefault="00DA24EF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CC3069" w:rsidRDefault="00DF2304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Assim, </w:t>
      </w:r>
      <w:r w:rsidR="00F94ED7" w:rsidRPr="00DA24EF">
        <w:rPr>
          <w:rFonts w:ascii="Arial" w:hAnsi="Arial" w:cs="Arial"/>
        </w:rPr>
        <w:t xml:space="preserve">tem-se que o capital social atualizado de uma pessoa jurídica corresponde ao seu patrimônio líquido, o qual se apura a partir do resultado obtido da subtração dos débitos sobre os bens e direitos (bens + direitos – obrigações = patrimônio líquido). </w:t>
      </w:r>
    </w:p>
    <w:p w:rsidR="00CC3069" w:rsidRDefault="00CC3069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F94ED7" w:rsidRPr="00DA24EF" w:rsidRDefault="00CC3069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4ED7" w:rsidRPr="00DA24EF">
        <w:rPr>
          <w:rFonts w:ascii="Arial" w:hAnsi="Arial" w:cs="Arial"/>
        </w:rPr>
        <w:t>Isto é, o patrimônio l</w:t>
      </w:r>
      <w:r>
        <w:rPr>
          <w:rFonts w:ascii="Arial" w:hAnsi="Arial" w:cs="Arial"/>
        </w:rPr>
        <w:t>í</w:t>
      </w:r>
      <w:r w:rsidR="00F94ED7" w:rsidRPr="00DA24EF">
        <w:rPr>
          <w:rFonts w:ascii="Arial" w:hAnsi="Arial" w:cs="Arial"/>
        </w:rPr>
        <w:t>quido da pessoa jurídica abrange tudo aquilo que ela possui (bens e direitos) e tudo aquilo que ela deve (obrigações). Do ponto de vista contábil, são considerados apenas os bens, direitos e obrigações que podem ser avaliados em moeda, sendo os bens e direitos – que constituem a parte positiva do patrimônio – chamados de Ativo; e as obrigações, que representam a parte negativa do patrimônio, chamada de Passivo.</w:t>
      </w:r>
    </w:p>
    <w:p w:rsidR="00F94ED7" w:rsidRPr="00DA24EF" w:rsidRDefault="00F94ED7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BC0F6C" w:rsidRDefault="00BC0F6C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4ED7" w:rsidRPr="00DA24EF">
        <w:rPr>
          <w:rFonts w:ascii="Arial" w:hAnsi="Arial" w:cs="Arial"/>
        </w:rPr>
        <w:t>Assim, eventual incidência de Imposto de Transmissão Causa Mortis e Doação (ITC</w:t>
      </w:r>
      <w:r>
        <w:rPr>
          <w:rFonts w:ascii="Arial" w:hAnsi="Arial" w:cs="Arial"/>
        </w:rPr>
        <w:t>M</w:t>
      </w:r>
      <w:r w:rsidR="00F94ED7" w:rsidRPr="00DA24EF">
        <w:rPr>
          <w:rFonts w:ascii="Arial" w:hAnsi="Arial" w:cs="Arial"/>
        </w:rPr>
        <w:t xml:space="preserve">D) sobre a transmissão da titularidade de quotas de uma pessoa jurídica deve levar em consideração o fato de que o valor das quotas sociais (capital social) corresponde ao patrimônio total, excluídas as obrigações assumidas pela sociedade. </w:t>
      </w:r>
    </w:p>
    <w:p w:rsidR="00BC0F6C" w:rsidRDefault="00BC0F6C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BC0F6C" w:rsidRDefault="00BC0F6C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4ED7" w:rsidRPr="00DA24EF">
        <w:rPr>
          <w:rFonts w:ascii="Arial" w:hAnsi="Arial" w:cs="Arial"/>
        </w:rPr>
        <w:t xml:space="preserve">Essa interpretação, vale frisar, não ofende a lei de regência porque o próprio art. 127, da Lei Estadual nº 1.810, de 22/12/1997, prevê que o valor venal será apurado e calculado, na transmissão por sucessão legítima e testamentária, processada mediante inventário, à luz do "valor dos bens ou direitos fixados por avaliação judicial" (inciso I, alínea "a"). </w:t>
      </w:r>
    </w:p>
    <w:p w:rsidR="00BC0F6C" w:rsidRDefault="00BC0F6C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61203C" w:rsidRDefault="00BC0F6C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4ED7" w:rsidRPr="00DA24EF">
        <w:rPr>
          <w:rFonts w:ascii="Arial" w:hAnsi="Arial" w:cs="Arial"/>
        </w:rPr>
        <w:t xml:space="preserve">Nesse mesmo sentido tem se orientado a jurisprudência do Tribunal de Justiça do Paraná, de cujo repertório é exemplificativo o seguinte julgado: </w:t>
      </w:r>
    </w:p>
    <w:p w:rsidR="0061203C" w:rsidRDefault="0061203C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F94ED7" w:rsidRPr="0061203C" w:rsidRDefault="00F94ED7" w:rsidP="0061203C">
      <w:pPr>
        <w:pStyle w:val="NormalWeb"/>
        <w:shd w:val="clear" w:color="auto" w:fill="FFFFFF"/>
        <w:spacing w:before="0" w:beforeAutospacing="0" w:after="0" w:afterAutospacing="0"/>
        <w:ind w:left="3545"/>
        <w:jc w:val="both"/>
        <w:rPr>
          <w:rFonts w:asciiTheme="minorHAnsi" w:hAnsiTheme="minorHAnsi" w:cs="Arial"/>
          <w:sz w:val="22"/>
        </w:rPr>
      </w:pPr>
      <w:r w:rsidRPr="0061203C">
        <w:rPr>
          <w:rFonts w:asciiTheme="minorHAnsi" w:hAnsiTheme="minorHAnsi" w:cs="Arial"/>
          <w:sz w:val="22"/>
        </w:rPr>
        <w:t>"TRIBUTÁRIO. AÇÃO ANULATÓRIA. ITCMD. IMPOSTO DE TRANSMISSÃO CAUSA MORTIS E DOAÇÃO. TRANSFERÊNCIA DE QUOTAS SOCIAIS DE PESSOA JURÍDICA. BASE DE CÁLCULO INCIDE SOBRE O VALOR VENAL DAS QUOTAS (PATRIMÔNIO LÍQUIDO). DISPOSIÇÃO EXPRESSA NO ART. 13 DA LEI N.º 8.927/98. EXCESSO DE COBRANÇA. SUSPENSÃO DA EXIGIBILIDADE DO CRÉDITO TRIBUTÁRIO. POSSIBILIDADE CONFIGURADA. PRESENTES OS REQUISITOS DA VEROSSIMILHANÇA E DO DANO IRREPARÁVEL. INCIDÊNCIA DO ART. 273, I, DO CPC E ART. 151, V, DO CTN. AGRAVO DE INSTRUMENTO. RECURSO PROVIDO. (AI nº 905929-8, Rel. Des. Lauro Laertes de Oliveira, 2ª C. Cível, 14/08/2012)</w:t>
      </w:r>
    </w:p>
    <w:p w:rsidR="00463BAF" w:rsidRDefault="00463BAF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D4C6A" w:rsidRDefault="00141AF6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203C">
        <w:rPr>
          <w:rFonts w:ascii="Arial" w:hAnsi="Arial" w:cs="Arial"/>
        </w:rPr>
        <w:t xml:space="preserve">No mesmo sentido </w:t>
      </w:r>
      <w:r>
        <w:rPr>
          <w:rFonts w:ascii="Arial" w:hAnsi="Arial" w:cs="Arial"/>
        </w:rPr>
        <w:t>o entendimento do Tribunal de Justiça do Mato Grosso do S</w:t>
      </w:r>
      <w:r w:rsidR="0061203C">
        <w:rPr>
          <w:rFonts w:ascii="Arial" w:hAnsi="Arial" w:cs="Arial"/>
        </w:rPr>
        <w:t>ul. Veja-se:</w:t>
      </w:r>
    </w:p>
    <w:p w:rsidR="00141AF6" w:rsidRDefault="00141AF6" w:rsidP="004C45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BE307D" w:rsidRDefault="00141AF6" w:rsidP="00861080">
      <w:pPr>
        <w:pStyle w:val="NormalWeb"/>
        <w:shd w:val="clear" w:color="auto" w:fill="FFFFFF"/>
        <w:spacing w:before="0" w:beforeAutospacing="0" w:after="0" w:afterAutospacing="0"/>
        <w:ind w:left="3545"/>
        <w:jc w:val="both"/>
      </w:pPr>
      <w:r w:rsidRPr="0055500E">
        <w:rPr>
          <w:b/>
        </w:rPr>
        <w:lastRenderedPageBreak/>
        <w:t>AGRAVO DE INSTRUMENTO – INVENTÁRIO – IMPOSTO SOBRE A TRANSMISSÃO CAUSA MORTIS E DOAÇÃO DE QUAISQUER BENS OU DIREITOS (ITCD) – TRANSMISSÃO DE QUOTAS SOCIETÁRIAS – BASE DE CÁLCULO – PATRIMÔNIO LÍQUIDO DA SOCIEDADE EMPRESÁRIA.</w:t>
      </w:r>
      <w:r>
        <w:t xml:space="preserve"> </w:t>
      </w:r>
    </w:p>
    <w:p w:rsidR="00BE307D" w:rsidRDefault="00141AF6" w:rsidP="00861080">
      <w:pPr>
        <w:pStyle w:val="NormalWeb"/>
        <w:shd w:val="clear" w:color="auto" w:fill="FFFFFF"/>
        <w:spacing w:before="0" w:beforeAutospacing="0" w:after="0" w:afterAutospacing="0"/>
        <w:ind w:left="3545"/>
        <w:jc w:val="both"/>
      </w:pPr>
      <w:r w:rsidRPr="00BE307D">
        <w:rPr>
          <w:b/>
        </w:rPr>
        <w:t>1.</w:t>
      </w:r>
      <w:r>
        <w:t xml:space="preserve"> Cinge-se a controvérsia a se determinar a base de calculo de incidência do Imposto sobre a Transmissão Causa Mortis e Doação de Quaisquer Bens ou Direitos (ITCD), na hipótese de transmissão causa mortis de quotas societárias </w:t>
      </w:r>
      <w:proofErr w:type="spellStart"/>
      <w:r>
        <w:t>titularizadas</w:t>
      </w:r>
      <w:proofErr w:type="spellEnd"/>
      <w:r>
        <w:t xml:space="preserve"> pelo de cujus até a data do óbito. </w:t>
      </w:r>
    </w:p>
    <w:p w:rsidR="00BE307D" w:rsidRDefault="00141AF6" w:rsidP="00861080">
      <w:pPr>
        <w:pStyle w:val="NormalWeb"/>
        <w:shd w:val="clear" w:color="auto" w:fill="FFFFFF"/>
        <w:spacing w:before="0" w:beforeAutospacing="0" w:after="0" w:afterAutospacing="0"/>
        <w:ind w:left="3545"/>
        <w:jc w:val="both"/>
      </w:pPr>
      <w:r w:rsidRPr="00BE307D">
        <w:rPr>
          <w:b/>
        </w:rPr>
        <w:t>2.</w:t>
      </w:r>
      <w:r>
        <w:t xml:space="preserve"> Eventual incidência de Imposto de Transmissão Causa Mortis e Doação (ITCD) sobre a transmissão da titularidade de quotas de uma pessoa jurídica deve levar em consideração o fato de que o valor do capital social corresponde ao patrimônio total, excluídas as obrigações assumidas pela sociedade. </w:t>
      </w:r>
    </w:p>
    <w:p w:rsidR="00BE307D" w:rsidRDefault="00141AF6" w:rsidP="00861080">
      <w:pPr>
        <w:pStyle w:val="NormalWeb"/>
        <w:shd w:val="clear" w:color="auto" w:fill="FFFFFF"/>
        <w:spacing w:before="0" w:beforeAutospacing="0" w:after="0" w:afterAutospacing="0"/>
        <w:ind w:left="3545"/>
        <w:jc w:val="both"/>
      </w:pPr>
      <w:r w:rsidRPr="00BE307D">
        <w:rPr>
          <w:b/>
        </w:rPr>
        <w:t>3</w:t>
      </w:r>
      <w:r w:rsidRPr="00DE1E19">
        <w:rPr>
          <w:b/>
        </w:rPr>
        <w:t xml:space="preserve">. </w:t>
      </w:r>
      <w:r w:rsidRPr="00DE1E19">
        <w:rPr>
          <w:b/>
          <w:u w:val="single"/>
        </w:rPr>
        <w:t>Como consequência, o valor patrimonial, base de cálculo do ITCD, não será necessariamente igual ao valor nominal do capital social da sociedade, podendo ser maior ou menor, a depender do patrimônio líquido da sociedade, e o cálculo do imposto variará em função dessa equação</w:t>
      </w:r>
      <w:r w:rsidRPr="00D47856">
        <w:rPr>
          <w:u w:val="single"/>
        </w:rPr>
        <w:t>.</w:t>
      </w:r>
      <w:r>
        <w:t xml:space="preserve"> </w:t>
      </w:r>
      <w:r w:rsidR="00D47856">
        <w:t xml:space="preserve">(grifo </w:t>
      </w:r>
      <w:r w:rsidR="00DE1E19">
        <w:t xml:space="preserve">e negrito </w:t>
      </w:r>
      <w:r w:rsidR="00D47856">
        <w:t>nosso)</w:t>
      </w:r>
    </w:p>
    <w:p w:rsidR="00141AF6" w:rsidRDefault="00141AF6" w:rsidP="00861080">
      <w:pPr>
        <w:pStyle w:val="NormalWeb"/>
        <w:shd w:val="clear" w:color="auto" w:fill="FFFFFF"/>
        <w:spacing w:before="0" w:beforeAutospacing="0" w:after="0" w:afterAutospacing="0"/>
        <w:ind w:left="3545"/>
        <w:jc w:val="both"/>
      </w:pPr>
      <w:r w:rsidRPr="00BE307D">
        <w:rPr>
          <w:b/>
        </w:rPr>
        <w:t>4.</w:t>
      </w:r>
      <w:r>
        <w:t xml:space="preserve"> Agravo de Instrumento conhecido e provido.</w:t>
      </w:r>
    </w:p>
    <w:p w:rsidR="00141AF6" w:rsidRDefault="0022422B" w:rsidP="00861080">
      <w:pPr>
        <w:pStyle w:val="NormalWeb"/>
        <w:shd w:val="clear" w:color="auto" w:fill="FFFFFF"/>
        <w:spacing w:before="0" w:beforeAutospacing="0" w:after="0" w:afterAutospacing="0"/>
        <w:ind w:left="3545"/>
        <w:jc w:val="both"/>
      </w:pPr>
      <w:r>
        <w:t>(</w:t>
      </w:r>
      <w:r w:rsidR="00141AF6">
        <w:t xml:space="preserve">TJMS - Agravo de Instrumento - Nº 1412143-70.2016.8.12.0000 - Campo </w:t>
      </w:r>
      <w:proofErr w:type="spellStart"/>
      <w:r w:rsidR="00141AF6">
        <w:t>Grande-MS</w:t>
      </w:r>
      <w:proofErr w:type="spellEnd"/>
      <w:r w:rsidR="00141AF6">
        <w:t xml:space="preserve"> – Relator: Des. Paulo Alberto de Oliveira - 2ª Câmara Cível</w:t>
      </w:r>
      <w:r w:rsidR="00C25EA7">
        <w:t xml:space="preserve"> – Publicação: 10/</w:t>
      </w:r>
      <w:r w:rsidR="001823F5">
        <w:t>05/</w:t>
      </w:r>
      <w:r w:rsidR="00C25EA7">
        <w:t>2017.</w:t>
      </w:r>
      <w:r>
        <w:t>)</w:t>
      </w:r>
    </w:p>
    <w:p w:rsidR="00F002C0" w:rsidRDefault="00F002C0" w:rsidP="00F002C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F41223" w:rsidRDefault="00F41223" w:rsidP="00F002C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bookmarkStart w:id="0" w:name="_GoBack"/>
      <w:bookmarkEnd w:id="0"/>
    </w:p>
    <w:p w:rsidR="000D2DDC" w:rsidRDefault="000D2DDC" w:rsidP="000D2DDC">
      <w:pPr>
        <w:pStyle w:val="NormalWeb"/>
        <w:shd w:val="clear" w:color="auto" w:fill="FFFFFF"/>
        <w:spacing w:before="0" w:beforeAutospacing="0" w:after="0" w:afterAutospacing="0"/>
        <w:ind w:firstLine="2835"/>
        <w:jc w:val="both"/>
        <w:rPr>
          <w:rFonts w:ascii="Arial" w:hAnsi="Arial" w:cs="Arial"/>
          <w:spacing w:val="2"/>
        </w:rPr>
      </w:pPr>
      <w:r w:rsidRPr="00C246CE">
        <w:rPr>
          <w:rFonts w:ascii="Arial" w:hAnsi="Arial" w:cs="Arial"/>
          <w:spacing w:val="2"/>
        </w:rPr>
        <w:t xml:space="preserve">Portanto, </w:t>
      </w:r>
      <w:r>
        <w:rPr>
          <w:rFonts w:ascii="Arial" w:hAnsi="Arial" w:cs="Arial"/>
          <w:spacing w:val="2"/>
        </w:rPr>
        <w:t xml:space="preserve">para a correta incidência do ITCMD, deve-se apurar </w:t>
      </w:r>
      <w:proofErr w:type="gramStart"/>
      <w:r>
        <w:rPr>
          <w:rFonts w:ascii="Arial" w:hAnsi="Arial" w:cs="Arial"/>
          <w:spacing w:val="2"/>
        </w:rPr>
        <w:t>o</w:t>
      </w:r>
      <w:proofErr w:type="gramEnd"/>
      <w:r>
        <w:rPr>
          <w:rFonts w:ascii="Arial" w:hAnsi="Arial" w:cs="Arial"/>
          <w:spacing w:val="2"/>
        </w:rPr>
        <w:t xml:space="preserve"> </w:t>
      </w:r>
      <w:proofErr w:type="gramStart"/>
      <w:r>
        <w:rPr>
          <w:rFonts w:ascii="Arial" w:hAnsi="Arial" w:cs="Arial"/>
          <w:spacing w:val="2"/>
        </w:rPr>
        <w:t>patrimônio</w:t>
      </w:r>
      <w:proofErr w:type="gramEnd"/>
      <w:r>
        <w:rPr>
          <w:rFonts w:ascii="Arial" w:hAnsi="Arial" w:cs="Arial"/>
          <w:spacing w:val="2"/>
        </w:rPr>
        <w:t xml:space="preserve"> líquido da empresa arrolada no inventário </w:t>
      </w:r>
      <w:r>
        <w:rPr>
          <w:rFonts w:ascii="Arial" w:hAnsi="Arial" w:cs="Arial"/>
          <w:spacing w:val="2"/>
        </w:rPr>
        <w:t>e não o total do capital social, somando</w:t>
      </w:r>
      <w:r w:rsidR="00A71C92">
        <w:rPr>
          <w:rFonts w:ascii="Arial" w:hAnsi="Arial" w:cs="Arial"/>
          <w:spacing w:val="2"/>
        </w:rPr>
        <w:t xml:space="preserve"> a este o </w:t>
      </w:r>
      <w:r>
        <w:rPr>
          <w:rFonts w:ascii="Arial" w:hAnsi="Arial" w:cs="Arial"/>
          <w:spacing w:val="2"/>
        </w:rPr>
        <w:t xml:space="preserve">valor do patrimônio liquido, </w:t>
      </w:r>
      <w:r w:rsidRPr="003B378A">
        <w:rPr>
          <w:rFonts w:ascii="Arial" w:hAnsi="Arial" w:cs="Arial"/>
          <w:spacing w:val="2"/>
          <w:u w:val="single"/>
        </w:rPr>
        <w:t xml:space="preserve">pois </w:t>
      </w:r>
      <w:r w:rsidR="002C4F04">
        <w:rPr>
          <w:rFonts w:ascii="Arial" w:hAnsi="Arial" w:cs="Arial"/>
          <w:spacing w:val="2"/>
          <w:u w:val="single"/>
        </w:rPr>
        <w:t>n</w:t>
      </w:r>
      <w:r w:rsidRPr="003B378A">
        <w:rPr>
          <w:rFonts w:ascii="Arial" w:hAnsi="Arial" w:cs="Arial"/>
          <w:spacing w:val="2"/>
          <w:u w:val="single"/>
        </w:rPr>
        <w:t>o valor do patrimônio liquido já está inserido(somado) o valor do capital social</w:t>
      </w:r>
      <w:r w:rsidR="003B378A">
        <w:rPr>
          <w:rFonts w:ascii="Arial" w:hAnsi="Arial" w:cs="Arial"/>
          <w:spacing w:val="2"/>
        </w:rPr>
        <w:t>.</w:t>
      </w:r>
    </w:p>
    <w:p w:rsidR="000D2DDC" w:rsidRDefault="000D2DDC" w:rsidP="000D2DDC">
      <w:pPr>
        <w:pStyle w:val="NormalWeb"/>
        <w:shd w:val="clear" w:color="auto" w:fill="FFFFFF"/>
        <w:spacing w:before="0" w:beforeAutospacing="0" w:after="0" w:afterAutospacing="0"/>
        <w:ind w:firstLine="2835"/>
        <w:jc w:val="both"/>
        <w:rPr>
          <w:rFonts w:ascii="Arial" w:hAnsi="Arial" w:cs="Arial"/>
          <w:spacing w:val="2"/>
        </w:rPr>
      </w:pPr>
    </w:p>
    <w:p w:rsidR="000D2DDC" w:rsidRPr="003B378A" w:rsidRDefault="000D2DDC" w:rsidP="000D2DDC">
      <w:pPr>
        <w:pStyle w:val="NormalWeb"/>
        <w:shd w:val="clear" w:color="auto" w:fill="FFFFFF"/>
        <w:spacing w:before="0" w:beforeAutospacing="0" w:after="0" w:afterAutospacing="0"/>
        <w:ind w:firstLine="2835"/>
        <w:jc w:val="both"/>
        <w:rPr>
          <w:rFonts w:ascii="Arial" w:hAnsi="Arial" w:cs="Arial"/>
          <w:spacing w:val="2"/>
        </w:rPr>
      </w:pPr>
      <w:r w:rsidRPr="00290F42">
        <w:rPr>
          <w:rFonts w:ascii="Arial" w:hAnsi="Arial" w:cs="Arial"/>
          <w:spacing w:val="2"/>
        </w:rPr>
        <w:t>Desta forma fica demonstrado</w:t>
      </w:r>
      <w:r>
        <w:rPr>
          <w:rFonts w:ascii="Arial" w:hAnsi="Arial" w:cs="Arial"/>
          <w:spacing w:val="2"/>
        </w:rPr>
        <w:t>, conforme balanço patrimonial</w:t>
      </w:r>
      <w:proofErr w:type="gramStart"/>
      <w:r>
        <w:rPr>
          <w:rFonts w:ascii="Arial" w:hAnsi="Arial" w:cs="Arial"/>
          <w:spacing w:val="2"/>
        </w:rPr>
        <w:t>, anexo</w:t>
      </w:r>
      <w:proofErr w:type="gramEnd"/>
      <w:r>
        <w:rPr>
          <w:rFonts w:ascii="Arial" w:hAnsi="Arial" w:cs="Arial"/>
          <w:spacing w:val="2"/>
        </w:rPr>
        <w:t xml:space="preserve"> a guia de ITCMD, </w:t>
      </w:r>
      <w:r w:rsidRPr="00290F42">
        <w:rPr>
          <w:rFonts w:ascii="Arial" w:hAnsi="Arial" w:cs="Arial"/>
          <w:spacing w:val="2"/>
        </w:rPr>
        <w:t xml:space="preserve"> que o valor </w:t>
      </w:r>
      <w:r>
        <w:rPr>
          <w:rFonts w:ascii="Arial" w:hAnsi="Arial" w:cs="Arial"/>
          <w:spacing w:val="2"/>
        </w:rPr>
        <w:t xml:space="preserve">do patrimonial líquido, </w:t>
      </w:r>
      <w:r w:rsidRPr="00290F42">
        <w:rPr>
          <w:rFonts w:ascii="Arial" w:hAnsi="Arial" w:cs="Arial"/>
          <w:spacing w:val="2"/>
        </w:rPr>
        <w:t xml:space="preserve">no caso telado é de </w:t>
      </w:r>
      <w:r w:rsidRPr="000D2DDC">
        <w:rPr>
          <w:rFonts w:ascii="Arial" w:hAnsi="Arial" w:cs="Arial"/>
          <w:b/>
          <w:spacing w:val="2"/>
          <w:u w:val="single"/>
        </w:rPr>
        <w:t>R$ 6.767,73</w:t>
      </w:r>
      <w:r w:rsidRPr="00290F42">
        <w:rPr>
          <w:rFonts w:ascii="Arial" w:hAnsi="Arial" w:cs="Arial"/>
          <w:spacing w:val="2"/>
        </w:rPr>
        <w:t>, aplicando a parti</w:t>
      </w:r>
      <w:r>
        <w:rPr>
          <w:rFonts w:ascii="Arial" w:hAnsi="Arial" w:cs="Arial"/>
          <w:spacing w:val="2"/>
        </w:rPr>
        <w:t xml:space="preserve">cipação do </w:t>
      </w:r>
      <w:r w:rsidRPr="00290F42">
        <w:rPr>
          <w:rFonts w:ascii="Arial" w:hAnsi="Arial" w:cs="Arial"/>
          <w:spacing w:val="2"/>
        </w:rPr>
        <w:t xml:space="preserve">de cujus no percentual de 37%, </w:t>
      </w:r>
      <w:r>
        <w:rPr>
          <w:rFonts w:ascii="Arial" w:hAnsi="Arial" w:cs="Arial"/>
          <w:spacing w:val="2"/>
        </w:rPr>
        <w:t xml:space="preserve">restando o valor de </w:t>
      </w:r>
      <w:r w:rsidRPr="000D2DDC">
        <w:rPr>
          <w:rFonts w:ascii="Arial" w:hAnsi="Arial" w:cs="Arial"/>
          <w:b/>
          <w:spacing w:val="2"/>
          <w:u w:val="single"/>
        </w:rPr>
        <w:t>R$ 2.504,06</w:t>
      </w:r>
      <w:r w:rsidR="003B378A">
        <w:rPr>
          <w:rFonts w:ascii="Arial" w:hAnsi="Arial" w:cs="Arial"/>
          <w:b/>
          <w:spacing w:val="2"/>
          <w:u w:val="single"/>
        </w:rPr>
        <w:t xml:space="preserve">, </w:t>
      </w:r>
      <w:r w:rsidR="003B378A" w:rsidRPr="003B378A">
        <w:rPr>
          <w:rFonts w:ascii="Arial" w:hAnsi="Arial" w:cs="Arial"/>
          <w:spacing w:val="2"/>
        </w:rPr>
        <w:t>a ser transmitido</w:t>
      </w:r>
      <w:r w:rsidRPr="003B378A">
        <w:rPr>
          <w:rFonts w:ascii="Arial" w:hAnsi="Arial" w:cs="Arial"/>
          <w:spacing w:val="2"/>
        </w:rPr>
        <w:t>.</w:t>
      </w:r>
    </w:p>
    <w:p w:rsidR="000D2DDC" w:rsidRDefault="000D2DDC" w:rsidP="000D2DDC">
      <w:pPr>
        <w:pStyle w:val="NormalWeb"/>
        <w:shd w:val="clear" w:color="auto" w:fill="FFFFFF"/>
        <w:spacing w:before="0" w:beforeAutospacing="0" w:after="0" w:afterAutospacing="0"/>
        <w:ind w:firstLine="2835"/>
        <w:jc w:val="both"/>
        <w:rPr>
          <w:rFonts w:ascii="Arial" w:hAnsi="Arial" w:cs="Arial"/>
          <w:spacing w:val="2"/>
        </w:rPr>
      </w:pPr>
    </w:p>
    <w:p w:rsidR="00F002C0" w:rsidRDefault="00290F42" w:rsidP="003B378A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             </w:t>
      </w:r>
      <w:r w:rsidR="003B378A">
        <w:rPr>
          <w:rFonts w:ascii="Arial" w:hAnsi="Arial" w:cs="Arial"/>
          <w:spacing w:val="2"/>
        </w:rPr>
        <w:t xml:space="preserve">Vimos requerer </w:t>
      </w:r>
      <w:r w:rsidRPr="00290F42">
        <w:rPr>
          <w:rFonts w:ascii="Arial" w:hAnsi="Arial" w:cs="Arial"/>
          <w:spacing w:val="2"/>
        </w:rPr>
        <w:t xml:space="preserve">a retificação da avaliação administrativa da respectiva </w:t>
      </w:r>
      <w:proofErr w:type="gramStart"/>
      <w:r w:rsidRPr="00290F42">
        <w:rPr>
          <w:rFonts w:ascii="Arial" w:hAnsi="Arial" w:cs="Arial"/>
          <w:spacing w:val="2"/>
        </w:rPr>
        <w:t>guia</w:t>
      </w:r>
      <w:proofErr w:type="gramEnd"/>
      <w:r w:rsidRPr="00290F42">
        <w:rPr>
          <w:rFonts w:ascii="Arial" w:hAnsi="Arial" w:cs="Arial"/>
          <w:spacing w:val="2"/>
        </w:rPr>
        <w:t>,  nos termos ora exposto</w:t>
      </w:r>
      <w:r w:rsidR="003B378A">
        <w:rPr>
          <w:rFonts w:ascii="Arial" w:hAnsi="Arial" w:cs="Arial"/>
          <w:spacing w:val="2"/>
        </w:rPr>
        <w:t xml:space="preserve">, </w:t>
      </w:r>
      <w:r w:rsidR="00DE1E19" w:rsidRPr="00DE1E19">
        <w:rPr>
          <w:rFonts w:ascii="Arial" w:hAnsi="Arial" w:cs="Arial"/>
          <w:b/>
          <w:spacing w:val="2"/>
        </w:rPr>
        <w:t>OU</w:t>
      </w:r>
      <w:r w:rsidR="003B378A">
        <w:rPr>
          <w:rFonts w:ascii="Arial" w:hAnsi="Arial" w:cs="Arial"/>
          <w:spacing w:val="2"/>
        </w:rPr>
        <w:t xml:space="preserve"> memória e metodologia de cálculo, caso seja </w:t>
      </w:r>
      <w:r w:rsidR="00DE1E19">
        <w:rPr>
          <w:rFonts w:ascii="Arial" w:hAnsi="Arial" w:cs="Arial"/>
          <w:spacing w:val="2"/>
        </w:rPr>
        <w:t>adotada forma divergente da</w:t>
      </w:r>
      <w:r w:rsidR="003B378A">
        <w:rPr>
          <w:rFonts w:ascii="Arial" w:hAnsi="Arial" w:cs="Arial"/>
          <w:spacing w:val="2"/>
        </w:rPr>
        <w:t xml:space="preserve"> presente manifestação.</w:t>
      </w:r>
    </w:p>
    <w:p w:rsidR="00861080" w:rsidRDefault="00861080" w:rsidP="00F002C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AC427A" w:rsidRDefault="00AC427A" w:rsidP="00AC427A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Campo </w:t>
      </w:r>
      <w:proofErr w:type="spellStart"/>
      <w:r>
        <w:rPr>
          <w:rFonts w:ascii="Arial" w:hAnsi="Arial" w:cs="Arial"/>
          <w:spacing w:val="2"/>
        </w:rPr>
        <w:t>Grande-MS</w:t>
      </w:r>
      <w:proofErr w:type="spellEnd"/>
      <w:r>
        <w:rPr>
          <w:rFonts w:ascii="Arial" w:hAnsi="Arial" w:cs="Arial"/>
          <w:spacing w:val="2"/>
        </w:rPr>
        <w:t xml:space="preserve">, </w:t>
      </w:r>
      <w:r w:rsidR="00861080">
        <w:rPr>
          <w:rFonts w:ascii="Arial" w:hAnsi="Arial" w:cs="Arial"/>
          <w:spacing w:val="2"/>
        </w:rPr>
        <w:t>23</w:t>
      </w:r>
      <w:r>
        <w:rPr>
          <w:rFonts w:ascii="Arial" w:hAnsi="Arial" w:cs="Arial"/>
          <w:spacing w:val="2"/>
        </w:rPr>
        <w:t xml:space="preserve"> de </w:t>
      </w:r>
      <w:r w:rsidR="00861080">
        <w:rPr>
          <w:rFonts w:ascii="Arial" w:hAnsi="Arial" w:cs="Arial"/>
          <w:spacing w:val="2"/>
        </w:rPr>
        <w:t>Outubro</w:t>
      </w:r>
      <w:r>
        <w:rPr>
          <w:rFonts w:ascii="Arial" w:hAnsi="Arial" w:cs="Arial"/>
          <w:spacing w:val="2"/>
        </w:rPr>
        <w:t xml:space="preserve"> de 2018.</w:t>
      </w:r>
    </w:p>
    <w:p w:rsidR="007E71BE" w:rsidRPr="00C246CE" w:rsidRDefault="007E71BE" w:rsidP="00AC427A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spacing w:val="2"/>
        </w:rPr>
      </w:pPr>
    </w:p>
    <w:p w:rsidR="00FD6406" w:rsidRDefault="00FD6406" w:rsidP="00D0713D">
      <w:pPr>
        <w:rPr>
          <w:rFonts w:cs="Arial"/>
        </w:rPr>
      </w:pPr>
    </w:p>
    <w:p w:rsidR="00AC427A" w:rsidRDefault="00AC427A" w:rsidP="00D0713D">
      <w:pPr>
        <w:rPr>
          <w:rFonts w:cs="Arial"/>
        </w:rPr>
      </w:pPr>
    </w:p>
    <w:p w:rsidR="00A61499" w:rsidRDefault="00A61499" w:rsidP="00D0713D">
      <w:pPr>
        <w:rPr>
          <w:rFonts w:cs="Arial"/>
        </w:rPr>
      </w:pPr>
    </w:p>
    <w:p w:rsidR="00E91DD1" w:rsidRPr="0048369E" w:rsidRDefault="00E91DD1" w:rsidP="00A17554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B03A60" w:rsidTr="006D771F">
        <w:tc>
          <w:tcPr>
            <w:tcW w:w="4105" w:type="dxa"/>
          </w:tcPr>
          <w:p w:rsidR="00B03A60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B03A60" w:rsidRDefault="00B03A60" w:rsidP="0086400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:rsidR="00B03A60" w:rsidRDefault="00B03A60" w:rsidP="0086400A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9" o:title=""/>
                </v:shape>
                <o:OLEObject Type="Embed" ProgID="PBrush" ShapeID="_x0000_i1025" DrawAspect="Content" ObjectID="_1601883101" r:id="rId10"/>
              </w:object>
            </w:r>
          </w:p>
        </w:tc>
        <w:tc>
          <w:tcPr>
            <w:tcW w:w="4180" w:type="dxa"/>
          </w:tcPr>
          <w:p w:rsidR="00B03A60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B03A60" w:rsidRDefault="00B03A60" w:rsidP="0086400A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F501A1" w:rsidRDefault="00F501A1" w:rsidP="00F56A20">
      <w:pPr>
        <w:rPr>
          <w:rFonts w:cs="Arial"/>
          <w:b/>
          <w:sz w:val="16"/>
        </w:rPr>
      </w:pPr>
    </w:p>
    <w:sectPr w:rsidR="00F501A1" w:rsidSect="004C45DD">
      <w:headerReference w:type="default" r:id="rId11"/>
      <w:footerReference w:type="even" r:id="rId12"/>
      <w:footerReference w:type="default" r:id="rId13"/>
      <w:pgSz w:w="12242" w:h="20163" w:code="120"/>
      <w:pgMar w:top="1134" w:right="1134" w:bottom="851" w:left="85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714" w:rsidRDefault="00BD7714">
      <w:r>
        <w:separator/>
      </w:r>
    </w:p>
  </w:endnote>
  <w:endnote w:type="continuationSeparator" w:id="0">
    <w:p w:rsidR="00BD7714" w:rsidRDefault="00BD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CE" w:rsidRDefault="00F3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246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246CE" w:rsidRDefault="00C246C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CE" w:rsidRDefault="00F3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246C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358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246CE" w:rsidRDefault="00F41223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C246CE" w:rsidRPr="00615EC1" w:rsidRDefault="00C246CE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C246CE" w:rsidRPr="00615EC1" w:rsidRDefault="00C246CE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714" w:rsidRDefault="00BD7714">
      <w:r>
        <w:separator/>
      </w:r>
    </w:p>
  </w:footnote>
  <w:footnote w:type="continuationSeparator" w:id="0">
    <w:p w:rsidR="00BD7714" w:rsidRDefault="00BD7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CE" w:rsidRDefault="00C246CE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C246CE" w:rsidRPr="00532341" w:rsidTr="00AF23F1">
      <w:tc>
        <w:tcPr>
          <w:tcW w:w="1289" w:type="dxa"/>
        </w:tcPr>
        <w:p w:rsidR="00C246CE" w:rsidRPr="00042934" w:rsidRDefault="00C246CE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01883102" r:id="rId2"/>
            </w:object>
          </w:r>
        </w:p>
      </w:tc>
      <w:tc>
        <w:tcPr>
          <w:tcW w:w="3639" w:type="dxa"/>
        </w:tcPr>
        <w:p w:rsidR="00C246CE" w:rsidRPr="00EC447D" w:rsidRDefault="00C246CE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C246CE" w:rsidRPr="00EC447D" w:rsidRDefault="00C246CE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C246CE" w:rsidRPr="00EC447D" w:rsidRDefault="00D43581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C246CE" w:rsidRPr="00AF23F1" w:rsidRDefault="00C246CE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C246CE" w:rsidRPr="00EC447D" w:rsidRDefault="00C246CE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C246CE" w:rsidRPr="00532341" w:rsidRDefault="00C246CE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C246CE" w:rsidRPr="00042934" w:rsidRDefault="00D43581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92304"/>
    <w:multiLevelType w:val="multilevel"/>
    <w:tmpl w:val="F81624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AA54CB"/>
    <w:multiLevelType w:val="multilevel"/>
    <w:tmpl w:val="5C1C0D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red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3C5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2DDC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66A5"/>
    <w:rsid w:val="00137624"/>
    <w:rsid w:val="00137BED"/>
    <w:rsid w:val="00140FE2"/>
    <w:rsid w:val="001414BA"/>
    <w:rsid w:val="00141773"/>
    <w:rsid w:val="001417B7"/>
    <w:rsid w:val="00141AF6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3F5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422B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C3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F42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8D8"/>
    <w:rsid w:val="002C4F04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378A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3BAF"/>
    <w:rsid w:val="00464442"/>
    <w:rsid w:val="00464A2D"/>
    <w:rsid w:val="00464BA7"/>
    <w:rsid w:val="004671D9"/>
    <w:rsid w:val="00473792"/>
    <w:rsid w:val="0047455C"/>
    <w:rsid w:val="00474C2E"/>
    <w:rsid w:val="00474F9F"/>
    <w:rsid w:val="004758D7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5DD"/>
    <w:rsid w:val="004C4EC4"/>
    <w:rsid w:val="004C5249"/>
    <w:rsid w:val="004C56C3"/>
    <w:rsid w:val="004C5877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4A92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5420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00E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2B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16C8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171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203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0E50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B16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E71BE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080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740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6680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4C6A"/>
    <w:rsid w:val="008D5210"/>
    <w:rsid w:val="008D54DB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499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1C92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427A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0F6C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0E1B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14"/>
    <w:rsid w:val="00BD77BE"/>
    <w:rsid w:val="00BE0167"/>
    <w:rsid w:val="00BE0656"/>
    <w:rsid w:val="00BE1584"/>
    <w:rsid w:val="00BE1E71"/>
    <w:rsid w:val="00BE250E"/>
    <w:rsid w:val="00BE307D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5EA7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069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5C1"/>
    <w:rsid w:val="00D376A3"/>
    <w:rsid w:val="00D37AF4"/>
    <w:rsid w:val="00D40006"/>
    <w:rsid w:val="00D41097"/>
    <w:rsid w:val="00D41A9F"/>
    <w:rsid w:val="00D41B22"/>
    <w:rsid w:val="00D43581"/>
    <w:rsid w:val="00D44060"/>
    <w:rsid w:val="00D455E0"/>
    <w:rsid w:val="00D47856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24EF"/>
    <w:rsid w:val="00DA3861"/>
    <w:rsid w:val="00DA50AF"/>
    <w:rsid w:val="00DA6912"/>
    <w:rsid w:val="00DA6EDF"/>
    <w:rsid w:val="00DB0F1C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1E19"/>
    <w:rsid w:val="00DE2286"/>
    <w:rsid w:val="00DE369F"/>
    <w:rsid w:val="00DE392C"/>
    <w:rsid w:val="00DE39C8"/>
    <w:rsid w:val="00DE3BF8"/>
    <w:rsid w:val="00DE4C91"/>
    <w:rsid w:val="00DE5FDC"/>
    <w:rsid w:val="00DE6475"/>
    <w:rsid w:val="00DF015F"/>
    <w:rsid w:val="00DF1201"/>
    <w:rsid w:val="00DF1554"/>
    <w:rsid w:val="00DF2304"/>
    <w:rsid w:val="00DF4F08"/>
    <w:rsid w:val="00DF553A"/>
    <w:rsid w:val="00DF588C"/>
    <w:rsid w:val="00DF5F78"/>
    <w:rsid w:val="00DF66C6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2D94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2C0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0D72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223"/>
    <w:rsid w:val="00F41E71"/>
    <w:rsid w:val="00F42024"/>
    <w:rsid w:val="00F422E2"/>
    <w:rsid w:val="00F42AEA"/>
    <w:rsid w:val="00F44749"/>
    <w:rsid w:val="00F44896"/>
    <w:rsid w:val="00F501A1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4ED7"/>
    <w:rsid w:val="00F95563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53E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red"/>
    </o:shapedefaults>
    <o:shapelayout v:ext="edit">
      <o:idmap v:ext="edit" data="1"/>
      <o:rules v:ext="edit">
        <o:r id="V:Rule1" type="callout" idref="#AutoShape 3"/>
        <o:r id="V:Rule4" type="connector" idref="#_x0000_s1027"/>
        <o:r id="V:Rule5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Fontepargpadro"/>
    <w:rsid w:val="00DF6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1EDCA-AC6E-4B4A-A27F-03307117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3</Pages>
  <Words>1233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8121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reinaldo</cp:lastModifiedBy>
  <cp:revision>101</cp:revision>
  <cp:lastPrinted>2018-10-24T14:45:00Z</cp:lastPrinted>
  <dcterms:created xsi:type="dcterms:W3CDTF">2017-10-27T10:59:00Z</dcterms:created>
  <dcterms:modified xsi:type="dcterms:W3CDTF">2018-10-24T14:45:00Z</dcterms:modified>
</cp:coreProperties>
</file>