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793" w:rsidRPr="001D1BE9" w:rsidRDefault="009F4793" w:rsidP="00F644C6">
      <w:pPr>
        <w:shd w:val="clear" w:color="auto" w:fill="FFFFFF"/>
        <w:spacing w:after="0" w:line="240" w:lineRule="auto"/>
        <w:jc w:val="center"/>
        <w:textAlignment w:val="baseline"/>
        <w:rPr>
          <w:rFonts w:asciiTheme="minorHAnsi" w:eastAsia="Times New Roman" w:hAnsiTheme="minorHAnsi" w:cstheme="minorHAnsi"/>
          <w:b/>
          <w:color w:val="515151"/>
          <w:sz w:val="22"/>
          <w:u w:val="single"/>
          <w:lang w:eastAsia="pt-BR"/>
        </w:rPr>
      </w:pPr>
      <w:r w:rsidRPr="001D1BE9">
        <w:rPr>
          <w:rFonts w:asciiTheme="minorHAnsi" w:eastAsia="Times New Roman" w:hAnsiTheme="minorHAnsi" w:cstheme="minorHAnsi"/>
          <w:b/>
          <w:color w:val="515151"/>
          <w:sz w:val="22"/>
          <w:u w:val="single"/>
          <w:lang w:eastAsia="pt-BR"/>
        </w:rPr>
        <w:t>ANEXO I</w:t>
      </w:r>
    </w:p>
    <w:p w:rsidR="009F4793" w:rsidRPr="001D1BE9" w:rsidRDefault="009F4793" w:rsidP="00F644C6">
      <w:pPr>
        <w:shd w:val="clear" w:color="auto" w:fill="FFFFFF"/>
        <w:spacing w:after="0" w:line="240" w:lineRule="auto"/>
        <w:jc w:val="center"/>
        <w:textAlignment w:val="baseline"/>
        <w:rPr>
          <w:rFonts w:asciiTheme="minorHAnsi" w:eastAsia="Times New Roman" w:hAnsiTheme="minorHAnsi" w:cstheme="minorHAnsi"/>
          <w:b/>
          <w:color w:val="515151"/>
          <w:sz w:val="22"/>
          <w:u w:val="single"/>
          <w:lang w:eastAsia="pt-BR"/>
        </w:rPr>
      </w:pPr>
      <w:r w:rsidRPr="001D1BE9">
        <w:rPr>
          <w:rFonts w:asciiTheme="minorHAnsi" w:eastAsia="Times New Roman" w:hAnsiTheme="minorHAnsi" w:cstheme="minorHAnsi"/>
          <w:b/>
          <w:color w:val="515151"/>
          <w:sz w:val="22"/>
          <w:u w:val="single"/>
          <w:lang w:eastAsia="pt-BR"/>
        </w:rPr>
        <w:t>PROPOSTA IMPLANTAÇÃO HOLDING PATRIMONIAL</w:t>
      </w:r>
    </w:p>
    <w:p w:rsidR="0030736D" w:rsidRPr="001D1BE9" w:rsidRDefault="009F4793" w:rsidP="00F644C6">
      <w:pPr>
        <w:shd w:val="clear" w:color="auto" w:fill="FFFFFF"/>
        <w:spacing w:after="0" w:line="240" w:lineRule="auto"/>
        <w:jc w:val="center"/>
        <w:textAlignment w:val="baseline"/>
        <w:rPr>
          <w:rFonts w:asciiTheme="minorHAnsi" w:eastAsia="Times New Roman" w:hAnsiTheme="minorHAnsi" w:cstheme="minorHAnsi"/>
          <w:b/>
          <w:color w:val="515151"/>
          <w:sz w:val="22"/>
          <w:u w:val="single"/>
          <w:lang w:eastAsia="pt-BR"/>
        </w:rPr>
      </w:pPr>
      <w:r w:rsidRPr="001D1BE9">
        <w:rPr>
          <w:rFonts w:asciiTheme="minorHAnsi" w:eastAsia="Times New Roman" w:hAnsiTheme="minorHAnsi" w:cstheme="minorHAnsi"/>
          <w:b/>
          <w:color w:val="515151"/>
          <w:sz w:val="22"/>
          <w:u w:val="single"/>
          <w:lang w:eastAsia="pt-BR"/>
        </w:rPr>
        <w:t>PLANILHA DE CÁLCULO</w:t>
      </w:r>
    </w:p>
    <w:p w:rsidR="00EA1BFA" w:rsidRPr="001D1BE9" w:rsidRDefault="00EA1BFA" w:rsidP="00F644C6">
      <w:pPr>
        <w:shd w:val="clear" w:color="auto" w:fill="FFFFFF"/>
        <w:spacing w:after="0" w:line="240" w:lineRule="auto"/>
        <w:jc w:val="center"/>
        <w:textAlignment w:val="baseline"/>
        <w:rPr>
          <w:rFonts w:asciiTheme="minorHAnsi" w:eastAsia="Times New Roman" w:hAnsiTheme="minorHAnsi" w:cstheme="minorHAnsi"/>
          <w:b/>
          <w:color w:val="515151"/>
          <w:sz w:val="22"/>
          <w:u w:val="single"/>
          <w:lang w:eastAsia="pt-BR"/>
        </w:rPr>
      </w:pPr>
    </w:p>
    <w:p w:rsidR="009F4793" w:rsidRPr="001D1BE9" w:rsidRDefault="009F479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9F4793" w:rsidRPr="001D1BE9" w:rsidRDefault="00C2329B" w:rsidP="00F644C6">
      <w:pPr>
        <w:shd w:val="clear" w:color="auto" w:fill="FFFFFF"/>
        <w:spacing w:after="0" w:line="36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9F4793" w:rsidRPr="001D1BE9">
        <w:rPr>
          <w:rFonts w:asciiTheme="minorHAnsi" w:eastAsia="Times New Roman" w:hAnsiTheme="minorHAnsi" w:cstheme="minorHAnsi"/>
          <w:color w:val="515151"/>
          <w:sz w:val="22"/>
          <w:lang w:eastAsia="pt-BR"/>
        </w:rPr>
        <w:t xml:space="preserve">Complementando o estudo elaborado para implantação de uma Holding Patrimonial, apresentamos os cálculos, valores e percentuais incidentes </w:t>
      </w:r>
      <w:r w:rsidR="009B04A5" w:rsidRPr="001D1BE9">
        <w:rPr>
          <w:rFonts w:asciiTheme="minorHAnsi" w:eastAsia="Times New Roman" w:hAnsiTheme="minorHAnsi" w:cstheme="minorHAnsi"/>
          <w:color w:val="515151"/>
          <w:sz w:val="22"/>
          <w:lang w:eastAsia="pt-BR"/>
        </w:rPr>
        <w:t>na relação de bens informados.</w:t>
      </w:r>
    </w:p>
    <w:p w:rsidR="004E2DC4" w:rsidRPr="001D1BE9" w:rsidRDefault="004E2DC4"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tbl>
      <w:tblPr>
        <w:tblStyle w:val="Tabelacomgrade"/>
        <w:tblW w:w="10910" w:type="dxa"/>
        <w:tblLook w:val="04A0" w:firstRow="1" w:lastRow="0" w:firstColumn="1" w:lastColumn="0" w:noHBand="0" w:noVBand="1"/>
      </w:tblPr>
      <w:tblGrid>
        <w:gridCol w:w="1980"/>
        <w:gridCol w:w="8930"/>
      </w:tblGrid>
      <w:tr w:rsidR="004E2DC4" w:rsidRPr="001D1BE9" w:rsidTr="004E2DC4">
        <w:tc>
          <w:tcPr>
            <w:tcW w:w="1980" w:type="dxa"/>
          </w:tcPr>
          <w:p w:rsidR="004E2DC4" w:rsidRPr="001D1BE9" w:rsidRDefault="004E2DC4" w:rsidP="00F644C6">
            <w:pPr>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NOME DO CLIENTE</w:t>
            </w:r>
          </w:p>
        </w:tc>
        <w:tc>
          <w:tcPr>
            <w:tcW w:w="8930" w:type="dxa"/>
          </w:tcPr>
          <w:p w:rsidR="004E2DC4" w:rsidRPr="001D1BE9" w:rsidRDefault="004E2DC4" w:rsidP="00F644C6">
            <w:pPr>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XXX</w:t>
            </w:r>
          </w:p>
        </w:tc>
      </w:tr>
    </w:tbl>
    <w:p w:rsidR="00422CBB" w:rsidRDefault="00422CBB"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ab/>
      </w:r>
      <w:r>
        <w:rPr>
          <w:rFonts w:asciiTheme="minorHAnsi" w:eastAsia="Times New Roman" w:hAnsiTheme="minorHAnsi" w:cstheme="minorHAnsi"/>
          <w:b/>
          <w:color w:val="515151"/>
          <w:sz w:val="22"/>
          <w:lang w:eastAsia="pt-BR"/>
        </w:rPr>
        <w:tab/>
      </w:r>
      <w:r>
        <w:rPr>
          <w:rFonts w:asciiTheme="minorHAnsi" w:eastAsia="Times New Roman" w:hAnsiTheme="minorHAnsi" w:cstheme="minorHAnsi"/>
          <w:b/>
          <w:color w:val="515151"/>
          <w:sz w:val="22"/>
          <w:lang w:eastAsia="pt-BR"/>
        </w:rPr>
        <w:tab/>
      </w:r>
      <w:r>
        <w:rPr>
          <w:rFonts w:asciiTheme="minorHAnsi" w:eastAsia="Times New Roman" w:hAnsiTheme="minorHAnsi" w:cstheme="minorHAnsi"/>
          <w:b/>
          <w:color w:val="515151"/>
          <w:sz w:val="22"/>
          <w:lang w:eastAsia="pt-BR"/>
        </w:rPr>
        <w:tab/>
      </w:r>
    </w:p>
    <w:tbl>
      <w:tblPr>
        <w:tblStyle w:val="Tabelacomgrade"/>
        <w:tblW w:w="0" w:type="auto"/>
        <w:tblLook w:val="04A0" w:firstRow="1" w:lastRow="0" w:firstColumn="1" w:lastColumn="0" w:noHBand="0" w:noVBand="1"/>
      </w:tblPr>
      <w:tblGrid>
        <w:gridCol w:w="4400"/>
        <w:gridCol w:w="1077"/>
        <w:gridCol w:w="1317"/>
        <w:gridCol w:w="1304"/>
        <w:gridCol w:w="1488"/>
        <w:gridCol w:w="1289"/>
      </w:tblGrid>
      <w:tr w:rsidR="00422CBB" w:rsidTr="00C1328F">
        <w:tc>
          <w:tcPr>
            <w:tcW w:w="4400" w:type="dxa"/>
          </w:tcPr>
          <w:p w:rsidR="00422CBB" w:rsidRPr="00422CBB" w:rsidRDefault="00422CBB" w:rsidP="00422CBB">
            <w:pPr>
              <w:jc w:val="both"/>
              <w:textAlignment w:val="baseline"/>
              <w:rPr>
                <w:rFonts w:asciiTheme="minorHAnsi" w:eastAsia="Times New Roman" w:hAnsiTheme="minorHAnsi" w:cstheme="minorHAnsi"/>
                <w:b/>
                <w:color w:val="515151"/>
                <w:sz w:val="20"/>
                <w:lang w:eastAsia="pt-BR"/>
              </w:rPr>
            </w:pPr>
            <w:r w:rsidRPr="00422CBB">
              <w:rPr>
                <w:rFonts w:asciiTheme="minorHAnsi" w:eastAsia="Times New Roman" w:hAnsiTheme="minorHAnsi" w:cstheme="minorHAnsi"/>
                <w:b/>
                <w:color w:val="515151"/>
                <w:sz w:val="20"/>
                <w:lang w:eastAsia="pt-BR"/>
              </w:rPr>
              <w:t>DESCRIÇÃO</w:t>
            </w:r>
          </w:p>
        </w:tc>
        <w:tc>
          <w:tcPr>
            <w:tcW w:w="1077" w:type="dxa"/>
          </w:tcPr>
          <w:p w:rsidR="00422CBB" w:rsidRPr="00422CBB" w:rsidRDefault="00422CBB" w:rsidP="00422CBB">
            <w:pPr>
              <w:jc w:val="center"/>
              <w:textAlignment w:val="baseline"/>
              <w:rPr>
                <w:rFonts w:asciiTheme="minorHAnsi" w:eastAsia="Times New Roman" w:hAnsiTheme="minorHAnsi" w:cstheme="minorHAnsi"/>
                <w:b/>
                <w:color w:val="515151"/>
                <w:sz w:val="20"/>
                <w:lang w:eastAsia="pt-BR"/>
              </w:rPr>
            </w:pPr>
            <w:r w:rsidRPr="00422CBB">
              <w:rPr>
                <w:rFonts w:asciiTheme="minorHAnsi" w:eastAsia="Times New Roman" w:hAnsiTheme="minorHAnsi" w:cstheme="minorHAnsi"/>
                <w:b/>
                <w:color w:val="515151"/>
                <w:sz w:val="20"/>
                <w:lang w:eastAsia="pt-BR"/>
              </w:rPr>
              <w:t>VALOR</w:t>
            </w:r>
          </w:p>
          <w:p w:rsidR="00422CBB" w:rsidRPr="00422CBB" w:rsidRDefault="00422CBB" w:rsidP="00422CBB">
            <w:pPr>
              <w:jc w:val="center"/>
              <w:textAlignment w:val="baseline"/>
              <w:rPr>
                <w:rFonts w:asciiTheme="minorHAnsi" w:eastAsia="Times New Roman" w:hAnsiTheme="minorHAnsi" w:cstheme="minorHAnsi"/>
                <w:b/>
                <w:color w:val="515151"/>
                <w:sz w:val="20"/>
                <w:lang w:eastAsia="pt-BR"/>
              </w:rPr>
            </w:pPr>
            <w:r w:rsidRPr="00422CBB">
              <w:rPr>
                <w:rFonts w:asciiTheme="minorHAnsi" w:eastAsia="Times New Roman" w:hAnsiTheme="minorHAnsi" w:cstheme="minorHAnsi"/>
                <w:b/>
                <w:color w:val="515151"/>
                <w:sz w:val="20"/>
                <w:lang w:eastAsia="pt-BR"/>
              </w:rPr>
              <w:t>(R$)</w:t>
            </w:r>
          </w:p>
        </w:tc>
        <w:tc>
          <w:tcPr>
            <w:tcW w:w="1317" w:type="dxa"/>
          </w:tcPr>
          <w:p w:rsidR="00422CBB" w:rsidRPr="00422CBB" w:rsidRDefault="00422CBB" w:rsidP="00422CBB">
            <w:pPr>
              <w:jc w:val="center"/>
              <w:textAlignment w:val="baseline"/>
              <w:rPr>
                <w:rFonts w:asciiTheme="minorHAnsi" w:eastAsia="Times New Roman" w:hAnsiTheme="minorHAnsi" w:cstheme="minorHAnsi"/>
                <w:b/>
                <w:color w:val="515151"/>
                <w:sz w:val="20"/>
                <w:lang w:eastAsia="pt-BR"/>
              </w:rPr>
            </w:pPr>
            <w:r w:rsidRPr="00422CBB">
              <w:rPr>
                <w:rFonts w:asciiTheme="minorHAnsi" w:eastAsia="Times New Roman" w:hAnsiTheme="minorHAnsi" w:cstheme="minorHAnsi"/>
                <w:b/>
                <w:color w:val="515151"/>
                <w:sz w:val="20"/>
                <w:lang w:eastAsia="pt-BR"/>
              </w:rPr>
              <w:t>TRIBUTAÇÃO INCIDENTE</w:t>
            </w:r>
          </w:p>
        </w:tc>
        <w:tc>
          <w:tcPr>
            <w:tcW w:w="1304" w:type="dxa"/>
          </w:tcPr>
          <w:p w:rsidR="00422CBB" w:rsidRPr="00422CBB" w:rsidRDefault="00321BF5"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PERCENTUAL</w:t>
            </w:r>
            <w:r w:rsidR="00422CBB" w:rsidRPr="00422CBB">
              <w:rPr>
                <w:rFonts w:asciiTheme="minorHAnsi" w:eastAsia="Times New Roman" w:hAnsiTheme="minorHAnsi" w:cstheme="minorHAnsi"/>
                <w:b/>
                <w:color w:val="515151"/>
                <w:sz w:val="20"/>
                <w:lang w:eastAsia="pt-BR"/>
              </w:rPr>
              <w:t xml:space="preserve"> INCIDENTE</w:t>
            </w:r>
          </w:p>
        </w:tc>
        <w:tc>
          <w:tcPr>
            <w:tcW w:w="1488" w:type="dxa"/>
          </w:tcPr>
          <w:p w:rsidR="00422CBB" w:rsidRPr="00422CBB" w:rsidRDefault="00422CBB" w:rsidP="00422CBB">
            <w:pPr>
              <w:jc w:val="center"/>
              <w:textAlignment w:val="baseline"/>
              <w:rPr>
                <w:rFonts w:asciiTheme="minorHAnsi" w:eastAsia="Times New Roman" w:hAnsiTheme="minorHAnsi" w:cstheme="minorHAnsi"/>
                <w:b/>
                <w:color w:val="515151"/>
                <w:sz w:val="20"/>
                <w:lang w:eastAsia="pt-BR"/>
              </w:rPr>
            </w:pPr>
            <w:r w:rsidRPr="00422CBB">
              <w:rPr>
                <w:rFonts w:asciiTheme="minorHAnsi" w:eastAsia="Times New Roman" w:hAnsiTheme="minorHAnsi" w:cstheme="minorHAnsi"/>
                <w:b/>
                <w:color w:val="515151"/>
                <w:sz w:val="20"/>
                <w:lang w:eastAsia="pt-BR"/>
              </w:rPr>
              <w:t>VALOR A RECOLHER (R$)</w:t>
            </w:r>
          </w:p>
        </w:tc>
        <w:tc>
          <w:tcPr>
            <w:tcW w:w="1289" w:type="dxa"/>
          </w:tcPr>
          <w:p w:rsidR="00422CBB" w:rsidRPr="00305980" w:rsidRDefault="00422CBB" w:rsidP="00321BF5">
            <w:pPr>
              <w:jc w:val="center"/>
              <w:textAlignment w:val="baseline"/>
              <w:rPr>
                <w:rFonts w:asciiTheme="minorHAnsi" w:eastAsia="Times New Roman" w:hAnsiTheme="minorHAnsi" w:cstheme="minorHAnsi"/>
                <w:b/>
                <w:color w:val="515151"/>
                <w:sz w:val="20"/>
                <w:lang w:eastAsia="pt-BR"/>
              </w:rPr>
            </w:pPr>
            <w:r w:rsidRPr="00305980">
              <w:rPr>
                <w:rFonts w:asciiTheme="minorHAnsi" w:eastAsia="Times New Roman" w:hAnsiTheme="minorHAnsi" w:cstheme="minorHAnsi"/>
                <w:b/>
                <w:color w:val="515151"/>
                <w:sz w:val="20"/>
                <w:lang w:eastAsia="pt-BR"/>
              </w:rPr>
              <w:t>Observação</w:t>
            </w:r>
          </w:p>
        </w:tc>
      </w:tr>
      <w:tr w:rsidR="00422CBB" w:rsidTr="00C1328F">
        <w:tc>
          <w:tcPr>
            <w:tcW w:w="4400" w:type="dxa"/>
          </w:tcPr>
          <w:p w:rsidR="00422CBB" w:rsidRPr="001D1BE9" w:rsidRDefault="00422CBB" w:rsidP="00422CBB">
            <w:pPr>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1) INTEGRALIZAÇÃO DO CAPITAL SOCIAL VIA HOLDING</w:t>
            </w:r>
          </w:p>
        </w:tc>
        <w:tc>
          <w:tcPr>
            <w:tcW w:w="1077"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c>
          <w:tcPr>
            <w:tcW w:w="1317"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04"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488"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289" w:type="dxa"/>
          </w:tcPr>
          <w:p w:rsidR="00422CBB" w:rsidRPr="00305980" w:rsidRDefault="00305980" w:rsidP="00321BF5">
            <w:pPr>
              <w:jc w:val="center"/>
              <w:textAlignment w:val="baseline"/>
              <w:rPr>
                <w:rFonts w:asciiTheme="minorHAnsi" w:eastAsia="Times New Roman" w:hAnsiTheme="minorHAnsi" w:cstheme="minorHAnsi"/>
                <w:b/>
                <w:color w:val="515151"/>
                <w:sz w:val="20"/>
                <w:lang w:eastAsia="pt-BR"/>
              </w:rPr>
            </w:pPr>
            <w:r w:rsidRPr="00305980">
              <w:rPr>
                <w:rFonts w:asciiTheme="minorHAnsi" w:eastAsia="Times New Roman" w:hAnsiTheme="minorHAnsi" w:cstheme="minorHAnsi"/>
                <w:b/>
                <w:color w:val="515151"/>
                <w:sz w:val="20"/>
                <w:lang w:eastAsia="pt-BR"/>
              </w:rPr>
              <w:t>-</w:t>
            </w:r>
          </w:p>
        </w:tc>
      </w:tr>
      <w:tr w:rsidR="00422CBB" w:rsidTr="00C1328F">
        <w:tc>
          <w:tcPr>
            <w:tcW w:w="4400" w:type="dxa"/>
          </w:tcPr>
          <w:p w:rsidR="00422CBB" w:rsidRPr="001D1BE9" w:rsidRDefault="00422CBB" w:rsidP="00422CBB">
            <w:pPr>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2) IMÓVEIS ADQUIRIDOS NA PLANTA E PARCELADOS PERANTE AS CONSTRUTORAS</w:t>
            </w:r>
          </w:p>
        </w:tc>
        <w:tc>
          <w:tcPr>
            <w:tcW w:w="1077"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17"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04"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488"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289" w:type="dxa"/>
          </w:tcPr>
          <w:p w:rsidR="00422CBB" w:rsidRPr="00305980" w:rsidRDefault="00305980" w:rsidP="00321BF5">
            <w:pPr>
              <w:jc w:val="center"/>
              <w:textAlignment w:val="baseline"/>
              <w:rPr>
                <w:rFonts w:asciiTheme="minorHAnsi" w:eastAsia="Times New Roman" w:hAnsiTheme="minorHAnsi" w:cstheme="minorHAnsi"/>
                <w:b/>
                <w:color w:val="515151"/>
                <w:sz w:val="20"/>
                <w:lang w:eastAsia="pt-BR"/>
              </w:rPr>
            </w:pPr>
            <w:r w:rsidRPr="00305980">
              <w:rPr>
                <w:rFonts w:asciiTheme="minorHAnsi" w:eastAsia="Times New Roman" w:hAnsiTheme="minorHAnsi" w:cstheme="minorHAnsi"/>
                <w:b/>
                <w:color w:val="515151"/>
                <w:sz w:val="20"/>
                <w:lang w:eastAsia="pt-BR"/>
              </w:rPr>
              <w:t>-</w:t>
            </w:r>
          </w:p>
        </w:tc>
      </w:tr>
      <w:tr w:rsidR="00422CBB" w:rsidTr="00C1328F">
        <w:tc>
          <w:tcPr>
            <w:tcW w:w="4400" w:type="dxa"/>
          </w:tcPr>
          <w:p w:rsidR="00422CBB" w:rsidRPr="001D1BE9" w:rsidRDefault="00422CBB" w:rsidP="00422CBB">
            <w:pPr>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3) </w:t>
            </w:r>
            <w:r w:rsidRPr="001D1BE9">
              <w:rPr>
                <w:rFonts w:asciiTheme="minorHAnsi" w:eastAsia="Times New Roman" w:hAnsiTheme="minorHAnsi" w:cstheme="minorHAnsi"/>
                <w:b/>
                <w:color w:val="515151"/>
                <w:sz w:val="22"/>
                <w:lang w:eastAsia="pt-BR"/>
              </w:rPr>
              <w:t>CONFERÊNCIA DE BENS REALIZADA PELOS CARTÓRIOS DE REGISTRO DE IMÓVEIS</w:t>
            </w:r>
            <w:r>
              <w:rPr>
                <w:rFonts w:asciiTheme="minorHAnsi" w:eastAsia="Times New Roman" w:hAnsiTheme="minorHAnsi" w:cstheme="minorHAnsi"/>
                <w:b/>
                <w:color w:val="515151"/>
                <w:sz w:val="22"/>
                <w:lang w:eastAsia="pt-BR"/>
              </w:rPr>
              <w:t xml:space="preserve"> VIA ESCRITURA PÚBLICA</w:t>
            </w:r>
          </w:p>
        </w:tc>
        <w:tc>
          <w:tcPr>
            <w:tcW w:w="1077"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17"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04"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488"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289" w:type="dxa"/>
          </w:tcPr>
          <w:p w:rsidR="00422CBB" w:rsidRPr="00305980" w:rsidRDefault="00305980" w:rsidP="00321BF5">
            <w:pPr>
              <w:jc w:val="center"/>
              <w:textAlignment w:val="baseline"/>
              <w:rPr>
                <w:rFonts w:asciiTheme="minorHAnsi" w:eastAsia="Times New Roman" w:hAnsiTheme="minorHAnsi" w:cstheme="minorHAnsi"/>
                <w:b/>
                <w:color w:val="515151"/>
                <w:sz w:val="20"/>
                <w:lang w:eastAsia="pt-BR"/>
              </w:rPr>
            </w:pPr>
            <w:r w:rsidRPr="00305980">
              <w:rPr>
                <w:rFonts w:asciiTheme="minorHAnsi" w:eastAsia="Times New Roman" w:hAnsiTheme="minorHAnsi" w:cstheme="minorHAnsi"/>
                <w:b/>
                <w:color w:val="515151"/>
                <w:sz w:val="20"/>
                <w:lang w:eastAsia="pt-BR"/>
              </w:rPr>
              <w:t>-</w:t>
            </w:r>
          </w:p>
        </w:tc>
      </w:tr>
      <w:tr w:rsidR="00422CBB" w:rsidTr="00C1328F">
        <w:tc>
          <w:tcPr>
            <w:tcW w:w="4400" w:type="dxa"/>
          </w:tcPr>
          <w:p w:rsidR="00422CBB" w:rsidRDefault="00422CBB" w:rsidP="00422CBB">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4) </w:t>
            </w:r>
            <w:r w:rsidRPr="001D1BE9">
              <w:rPr>
                <w:rFonts w:asciiTheme="minorHAnsi" w:eastAsia="Times New Roman" w:hAnsiTheme="minorHAnsi" w:cstheme="minorHAnsi"/>
                <w:b/>
                <w:color w:val="515151"/>
                <w:sz w:val="22"/>
                <w:lang w:eastAsia="pt-BR"/>
              </w:rPr>
              <w:t>A ANUÊNCIA DO CÔNJUGE PARA A INTEGRALIZAÇÃO DO CAPITAL SOCIAL E NA DOAÇÃO DE QUOTAS</w:t>
            </w:r>
          </w:p>
        </w:tc>
        <w:tc>
          <w:tcPr>
            <w:tcW w:w="1077"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17"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04"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488" w:type="dxa"/>
          </w:tcPr>
          <w:p w:rsidR="00422CBB" w:rsidRPr="00422CBB" w:rsidRDefault="00305980"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289" w:type="dxa"/>
          </w:tcPr>
          <w:p w:rsidR="00422CBB" w:rsidRPr="00305980" w:rsidRDefault="00305980" w:rsidP="00321BF5">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 xml:space="preserve">Obrigatório, salvo regime </w:t>
            </w:r>
            <w:r w:rsidRPr="00305980">
              <w:rPr>
                <w:rFonts w:asciiTheme="minorHAnsi" w:eastAsia="Times New Roman" w:hAnsiTheme="minorHAnsi" w:cstheme="minorHAnsi"/>
                <w:b/>
                <w:color w:val="515151"/>
                <w:sz w:val="20"/>
                <w:lang w:eastAsia="pt-BR"/>
              </w:rPr>
              <w:t>separação total de bens</w:t>
            </w:r>
          </w:p>
        </w:tc>
      </w:tr>
      <w:tr w:rsidR="00321BF5" w:rsidTr="00C1328F">
        <w:tc>
          <w:tcPr>
            <w:tcW w:w="4400" w:type="dxa"/>
          </w:tcPr>
          <w:p w:rsidR="00321BF5" w:rsidRDefault="00321BF5" w:rsidP="00C1328F">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5)</w:t>
            </w:r>
            <w:r w:rsidRPr="001D1BE9">
              <w:rPr>
                <w:rFonts w:asciiTheme="minorHAnsi" w:eastAsia="Times New Roman" w:hAnsiTheme="minorHAnsi" w:cstheme="minorHAnsi"/>
                <w:b/>
                <w:color w:val="515151"/>
                <w:sz w:val="22"/>
                <w:lang w:eastAsia="pt-BR"/>
              </w:rPr>
              <w:t xml:space="preserve"> </w:t>
            </w:r>
            <w:proofErr w:type="spellStart"/>
            <w:r w:rsidR="00C1328F">
              <w:rPr>
                <w:rFonts w:asciiTheme="minorHAnsi" w:eastAsia="Times New Roman" w:hAnsiTheme="minorHAnsi" w:cstheme="minorHAnsi"/>
                <w:b/>
                <w:color w:val="515151"/>
                <w:sz w:val="22"/>
                <w:lang w:eastAsia="pt-BR"/>
              </w:rPr>
              <w:t>xxx</w:t>
            </w:r>
            <w:proofErr w:type="spellEnd"/>
            <w:r w:rsidR="00C1328F">
              <w:rPr>
                <w:rFonts w:asciiTheme="minorHAnsi" w:eastAsia="Times New Roman" w:hAnsiTheme="minorHAnsi" w:cstheme="minorHAnsi"/>
                <w:b/>
                <w:color w:val="515151"/>
                <w:sz w:val="22"/>
                <w:lang w:eastAsia="pt-BR"/>
              </w:rPr>
              <w:t xml:space="preserve"> – DESCRIÇÃO DO IMÓVEL 01</w:t>
            </w:r>
          </w:p>
        </w:tc>
        <w:tc>
          <w:tcPr>
            <w:tcW w:w="1077" w:type="dxa"/>
          </w:tcPr>
          <w:p w:rsidR="00321BF5" w:rsidRDefault="00321BF5"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c>
          <w:tcPr>
            <w:tcW w:w="1317" w:type="dxa"/>
          </w:tcPr>
          <w:p w:rsidR="00321BF5" w:rsidRDefault="00C1328F"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ITBI</w:t>
            </w:r>
          </w:p>
        </w:tc>
        <w:tc>
          <w:tcPr>
            <w:tcW w:w="1304" w:type="dxa"/>
          </w:tcPr>
          <w:p w:rsidR="00321BF5" w:rsidRDefault="00321BF5"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6 %</w:t>
            </w:r>
          </w:p>
        </w:tc>
        <w:tc>
          <w:tcPr>
            <w:tcW w:w="1488" w:type="dxa"/>
          </w:tcPr>
          <w:p w:rsidR="00321BF5" w:rsidRDefault="00321BF5"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c>
          <w:tcPr>
            <w:tcW w:w="1289" w:type="dxa"/>
          </w:tcPr>
          <w:p w:rsidR="00321BF5" w:rsidRDefault="00321BF5" w:rsidP="00321BF5">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r>
      <w:tr w:rsidR="00C1328F" w:rsidTr="00C1328F">
        <w:tc>
          <w:tcPr>
            <w:tcW w:w="4400" w:type="dxa"/>
          </w:tcPr>
          <w:p w:rsidR="00C1328F" w:rsidRDefault="00460C7B" w:rsidP="00321BF5">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6) REGIME DE TRIBUTAÇÃO</w:t>
            </w:r>
          </w:p>
        </w:tc>
        <w:tc>
          <w:tcPr>
            <w:tcW w:w="1077" w:type="dxa"/>
          </w:tcPr>
          <w:p w:rsidR="00C1328F" w:rsidRDefault="00460C7B"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17" w:type="dxa"/>
          </w:tcPr>
          <w:p w:rsidR="00C1328F" w:rsidRDefault="00460C7B"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04" w:type="dxa"/>
          </w:tcPr>
          <w:p w:rsidR="00C1328F" w:rsidRDefault="00460C7B"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488" w:type="dxa"/>
          </w:tcPr>
          <w:p w:rsidR="00C1328F" w:rsidRDefault="00460C7B"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289" w:type="dxa"/>
          </w:tcPr>
          <w:p w:rsidR="00C1328F" w:rsidRDefault="00460C7B" w:rsidP="00321BF5">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LUCRO PRESUMIDO</w:t>
            </w:r>
          </w:p>
        </w:tc>
      </w:tr>
      <w:tr w:rsidR="00C1328F" w:rsidTr="00C1328F">
        <w:tc>
          <w:tcPr>
            <w:tcW w:w="4400" w:type="dxa"/>
          </w:tcPr>
          <w:p w:rsidR="00C1328F" w:rsidRDefault="009248FC" w:rsidP="00321BF5">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7) IRPJ</w:t>
            </w:r>
          </w:p>
        </w:tc>
        <w:tc>
          <w:tcPr>
            <w:tcW w:w="1077" w:type="dxa"/>
          </w:tcPr>
          <w:p w:rsidR="00C1328F" w:rsidRDefault="00460C7B"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17" w:type="dxa"/>
          </w:tcPr>
          <w:p w:rsidR="00C1328F" w:rsidRDefault="00460C7B"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04" w:type="dxa"/>
          </w:tcPr>
          <w:p w:rsidR="00C1328F" w:rsidRDefault="009248FC" w:rsidP="009248FC">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15</w:t>
            </w:r>
            <w:r w:rsidR="00460C7B">
              <w:rPr>
                <w:rFonts w:asciiTheme="minorHAnsi" w:eastAsia="Times New Roman" w:hAnsiTheme="minorHAnsi" w:cstheme="minorHAnsi"/>
                <w:b/>
                <w:color w:val="515151"/>
                <w:sz w:val="20"/>
                <w:lang w:eastAsia="pt-BR"/>
              </w:rPr>
              <w:t>%</w:t>
            </w:r>
          </w:p>
        </w:tc>
        <w:tc>
          <w:tcPr>
            <w:tcW w:w="1488" w:type="dxa"/>
          </w:tcPr>
          <w:p w:rsidR="00C1328F" w:rsidRDefault="00460C7B" w:rsidP="00422CBB">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289" w:type="dxa"/>
          </w:tcPr>
          <w:p w:rsidR="00460C7B" w:rsidRPr="00460C7B" w:rsidRDefault="00460C7B" w:rsidP="00460C7B">
            <w:pPr>
              <w:shd w:val="clear" w:color="auto" w:fill="FFFFFF"/>
              <w:jc w:val="both"/>
              <w:textAlignment w:val="baseline"/>
              <w:rPr>
                <w:rFonts w:asciiTheme="minorHAnsi" w:eastAsia="Times New Roman" w:hAnsiTheme="minorHAnsi" w:cstheme="minorHAnsi"/>
                <w:b/>
                <w:color w:val="515151"/>
                <w:sz w:val="22"/>
                <w:lang w:eastAsia="pt-BR"/>
              </w:rPr>
            </w:pPr>
            <w:r w:rsidRPr="00460C7B">
              <w:rPr>
                <w:rFonts w:asciiTheme="minorHAnsi" w:eastAsia="Times New Roman" w:hAnsiTheme="minorHAnsi" w:cstheme="minorHAnsi"/>
                <w:b/>
                <w:color w:val="515151"/>
                <w:sz w:val="22"/>
                <w:lang w:eastAsia="pt-BR"/>
              </w:rPr>
              <w:t xml:space="preserve">SOBRE </w:t>
            </w:r>
            <w:r w:rsidR="009248FC">
              <w:rPr>
                <w:rFonts w:asciiTheme="minorHAnsi" w:eastAsia="Times New Roman" w:hAnsiTheme="minorHAnsi" w:cstheme="minorHAnsi"/>
                <w:b/>
                <w:color w:val="515151"/>
                <w:sz w:val="22"/>
                <w:lang w:eastAsia="pt-BR"/>
              </w:rPr>
              <w:t>32% D</w:t>
            </w:r>
            <w:r w:rsidRPr="00460C7B">
              <w:rPr>
                <w:rFonts w:asciiTheme="minorHAnsi" w:eastAsia="Times New Roman" w:hAnsiTheme="minorHAnsi" w:cstheme="minorHAnsi"/>
                <w:b/>
                <w:color w:val="515151"/>
                <w:sz w:val="22"/>
                <w:lang w:eastAsia="pt-BR"/>
              </w:rPr>
              <w:t>A RECEITA BRUTA</w:t>
            </w:r>
          </w:p>
          <w:p w:rsidR="00C1328F" w:rsidRDefault="00C1328F" w:rsidP="00321BF5">
            <w:pPr>
              <w:jc w:val="center"/>
              <w:textAlignment w:val="baseline"/>
              <w:rPr>
                <w:rFonts w:asciiTheme="minorHAnsi" w:eastAsia="Times New Roman" w:hAnsiTheme="minorHAnsi" w:cstheme="minorHAnsi"/>
                <w:b/>
                <w:color w:val="515151"/>
                <w:sz w:val="20"/>
                <w:lang w:eastAsia="pt-BR"/>
              </w:rPr>
            </w:pPr>
          </w:p>
        </w:tc>
      </w:tr>
      <w:tr w:rsidR="00BC268E" w:rsidTr="00C1328F">
        <w:tc>
          <w:tcPr>
            <w:tcW w:w="4400" w:type="dxa"/>
          </w:tcPr>
          <w:p w:rsidR="00BC268E" w:rsidRDefault="00BC268E" w:rsidP="00BC268E">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8) </w:t>
            </w:r>
            <w:r w:rsidRPr="001D1BE9">
              <w:rPr>
                <w:rFonts w:asciiTheme="minorHAnsi" w:eastAsia="Times New Roman" w:hAnsiTheme="minorHAnsi" w:cstheme="minorHAnsi"/>
                <w:b/>
                <w:bCs/>
                <w:color w:val="515151"/>
                <w:sz w:val="22"/>
                <w:lang w:eastAsia="pt-BR"/>
              </w:rPr>
              <w:t>CSLL</w:t>
            </w:r>
          </w:p>
        </w:tc>
        <w:tc>
          <w:tcPr>
            <w:tcW w:w="1077"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17"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304"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9%</w:t>
            </w:r>
          </w:p>
        </w:tc>
        <w:tc>
          <w:tcPr>
            <w:tcW w:w="1488"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c>
          <w:tcPr>
            <w:tcW w:w="1289" w:type="dxa"/>
          </w:tcPr>
          <w:p w:rsidR="00BC268E" w:rsidRPr="00460C7B" w:rsidRDefault="00BC268E" w:rsidP="00BC268E">
            <w:pPr>
              <w:shd w:val="clear" w:color="auto" w:fill="FFFFFF"/>
              <w:jc w:val="both"/>
              <w:textAlignment w:val="baseline"/>
              <w:rPr>
                <w:rFonts w:asciiTheme="minorHAnsi" w:eastAsia="Times New Roman" w:hAnsiTheme="minorHAnsi" w:cstheme="minorHAnsi"/>
                <w:b/>
                <w:color w:val="515151"/>
                <w:sz w:val="22"/>
                <w:lang w:eastAsia="pt-BR"/>
              </w:rPr>
            </w:pPr>
            <w:r w:rsidRPr="00460C7B">
              <w:rPr>
                <w:rFonts w:asciiTheme="minorHAnsi" w:eastAsia="Times New Roman" w:hAnsiTheme="minorHAnsi" w:cstheme="minorHAnsi"/>
                <w:b/>
                <w:color w:val="515151"/>
                <w:sz w:val="22"/>
                <w:lang w:eastAsia="pt-BR"/>
              </w:rPr>
              <w:t xml:space="preserve">SOBRE </w:t>
            </w:r>
            <w:r>
              <w:rPr>
                <w:rFonts w:asciiTheme="minorHAnsi" w:eastAsia="Times New Roman" w:hAnsiTheme="minorHAnsi" w:cstheme="minorHAnsi"/>
                <w:b/>
                <w:color w:val="515151"/>
                <w:sz w:val="22"/>
                <w:lang w:eastAsia="pt-BR"/>
              </w:rPr>
              <w:t>32% D</w:t>
            </w:r>
            <w:r w:rsidRPr="00460C7B">
              <w:rPr>
                <w:rFonts w:asciiTheme="minorHAnsi" w:eastAsia="Times New Roman" w:hAnsiTheme="minorHAnsi" w:cstheme="minorHAnsi"/>
                <w:b/>
                <w:color w:val="515151"/>
                <w:sz w:val="22"/>
                <w:lang w:eastAsia="pt-BR"/>
              </w:rPr>
              <w:t>A RECEITA BRUTA</w:t>
            </w:r>
          </w:p>
          <w:p w:rsidR="00BC268E" w:rsidRDefault="00BC268E" w:rsidP="00BC268E">
            <w:pPr>
              <w:jc w:val="center"/>
              <w:textAlignment w:val="baseline"/>
              <w:rPr>
                <w:rFonts w:asciiTheme="minorHAnsi" w:eastAsia="Times New Roman" w:hAnsiTheme="minorHAnsi" w:cstheme="minorHAnsi"/>
                <w:b/>
                <w:color w:val="515151"/>
                <w:sz w:val="20"/>
                <w:lang w:eastAsia="pt-BR"/>
              </w:rPr>
            </w:pPr>
          </w:p>
        </w:tc>
      </w:tr>
      <w:tr w:rsidR="00BC268E" w:rsidTr="00C1328F">
        <w:tc>
          <w:tcPr>
            <w:tcW w:w="4400" w:type="dxa"/>
          </w:tcPr>
          <w:p w:rsidR="00BC268E" w:rsidRPr="00BC268E" w:rsidRDefault="00BC268E" w:rsidP="00BC268E">
            <w:pPr>
              <w:shd w:val="clear" w:color="auto" w:fill="FFFFFF"/>
              <w:jc w:val="both"/>
              <w:textAlignment w:val="baseline"/>
              <w:rPr>
                <w:rFonts w:asciiTheme="minorHAnsi" w:eastAsia="Times New Roman" w:hAnsiTheme="minorHAnsi" w:cstheme="minorHAnsi"/>
                <w:b/>
                <w:bCs/>
                <w:color w:val="515151"/>
                <w:sz w:val="22"/>
                <w:lang w:eastAsia="pt-BR"/>
              </w:rPr>
            </w:pPr>
            <w:r>
              <w:rPr>
                <w:rFonts w:asciiTheme="minorHAnsi" w:eastAsia="Times New Roman" w:hAnsiTheme="minorHAnsi" w:cstheme="minorHAnsi"/>
                <w:b/>
                <w:color w:val="515151"/>
                <w:sz w:val="22"/>
                <w:lang w:eastAsia="pt-BR"/>
              </w:rPr>
              <w:t xml:space="preserve">9) </w:t>
            </w:r>
            <w:r w:rsidRPr="001D1BE9">
              <w:rPr>
                <w:rFonts w:asciiTheme="minorHAnsi" w:eastAsia="Times New Roman" w:hAnsiTheme="minorHAnsi" w:cstheme="minorHAnsi"/>
                <w:b/>
                <w:bCs/>
                <w:color w:val="515151"/>
                <w:sz w:val="22"/>
                <w:lang w:eastAsia="pt-BR"/>
              </w:rPr>
              <w:t>PIS e COFINS:</w:t>
            </w:r>
          </w:p>
        </w:tc>
        <w:tc>
          <w:tcPr>
            <w:tcW w:w="1077"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p>
        </w:tc>
        <w:tc>
          <w:tcPr>
            <w:tcW w:w="1317"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p>
        </w:tc>
        <w:tc>
          <w:tcPr>
            <w:tcW w:w="1304"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p>
        </w:tc>
        <w:tc>
          <w:tcPr>
            <w:tcW w:w="1488"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p>
        </w:tc>
        <w:tc>
          <w:tcPr>
            <w:tcW w:w="1289" w:type="dxa"/>
          </w:tcPr>
          <w:p w:rsidR="00BC268E" w:rsidRPr="00460C7B" w:rsidRDefault="00BC268E" w:rsidP="00BC268E">
            <w:pPr>
              <w:shd w:val="clear" w:color="auto" w:fill="FFFFFF"/>
              <w:jc w:val="both"/>
              <w:textAlignment w:val="baseline"/>
              <w:rPr>
                <w:rFonts w:asciiTheme="minorHAnsi" w:eastAsia="Times New Roman" w:hAnsiTheme="minorHAnsi" w:cstheme="minorHAnsi"/>
                <w:b/>
                <w:color w:val="515151"/>
                <w:sz w:val="22"/>
                <w:lang w:eastAsia="pt-BR"/>
              </w:rPr>
            </w:pPr>
          </w:p>
        </w:tc>
      </w:tr>
      <w:tr w:rsidR="00BC268E" w:rsidTr="00C1328F">
        <w:tc>
          <w:tcPr>
            <w:tcW w:w="4400" w:type="dxa"/>
          </w:tcPr>
          <w:p w:rsidR="00BC268E" w:rsidRDefault="00954045" w:rsidP="00BC268E">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w:t>
            </w:r>
          </w:p>
        </w:tc>
        <w:tc>
          <w:tcPr>
            <w:tcW w:w="1077"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p>
        </w:tc>
        <w:tc>
          <w:tcPr>
            <w:tcW w:w="1317"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p>
        </w:tc>
        <w:tc>
          <w:tcPr>
            <w:tcW w:w="1304"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p>
        </w:tc>
        <w:tc>
          <w:tcPr>
            <w:tcW w:w="1488" w:type="dxa"/>
          </w:tcPr>
          <w:p w:rsidR="00BC268E" w:rsidRDefault="00BC268E" w:rsidP="00BC268E">
            <w:pPr>
              <w:jc w:val="center"/>
              <w:textAlignment w:val="baseline"/>
              <w:rPr>
                <w:rFonts w:asciiTheme="minorHAnsi" w:eastAsia="Times New Roman" w:hAnsiTheme="minorHAnsi" w:cstheme="minorHAnsi"/>
                <w:b/>
                <w:color w:val="515151"/>
                <w:sz w:val="20"/>
                <w:lang w:eastAsia="pt-BR"/>
              </w:rPr>
            </w:pPr>
          </w:p>
        </w:tc>
        <w:tc>
          <w:tcPr>
            <w:tcW w:w="1289" w:type="dxa"/>
          </w:tcPr>
          <w:p w:rsidR="00BC268E" w:rsidRPr="00460C7B" w:rsidRDefault="00BC268E" w:rsidP="00BC268E">
            <w:pPr>
              <w:shd w:val="clear" w:color="auto" w:fill="FFFFFF"/>
              <w:jc w:val="both"/>
              <w:textAlignment w:val="baseline"/>
              <w:rPr>
                <w:rFonts w:asciiTheme="minorHAnsi" w:eastAsia="Times New Roman" w:hAnsiTheme="minorHAnsi" w:cstheme="minorHAnsi"/>
                <w:b/>
                <w:color w:val="515151"/>
                <w:sz w:val="22"/>
                <w:lang w:eastAsia="pt-BR"/>
              </w:rPr>
            </w:pPr>
          </w:p>
        </w:tc>
      </w:tr>
      <w:tr w:rsidR="00954045" w:rsidTr="00954045">
        <w:tc>
          <w:tcPr>
            <w:tcW w:w="4400" w:type="dxa"/>
          </w:tcPr>
          <w:p w:rsidR="00954045" w:rsidRDefault="00954045" w:rsidP="002D2904">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    </w:t>
            </w:r>
            <w:r w:rsidRPr="001D1BE9">
              <w:rPr>
                <w:rFonts w:asciiTheme="minorHAnsi" w:eastAsia="Times New Roman" w:hAnsiTheme="minorHAnsi" w:cstheme="minorHAnsi"/>
                <w:b/>
                <w:color w:val="515151"/>
                <w:sz w:val="22"/>
                <w:lang w:eastAsia="pt-BR"/>
              </w:rPr>
              <w:t xml:space="preserve"> </w:t>
            </w:r>
            <w:proofErr w:type="spellStart"/>
            <w:r>
              <w:rPr>
                <w:rFonts w:asciiTheme="minorHAnsi" w:eastAsia="Times New Roman" w:hAnsiTheme="minorHAnsi" w:cstheme="minorHAnsi"/>
                <w:b/>
                <w:color w:val="515151"/>
                <w:sz w:val="22"/>
                <w:lang w:eastAsia="pt-BR"/>
              </w:rPr>
              <w:t>xxx</w:t>
            </w:r>
            <w:proofErr w:type="spellEnd"/>
            <w:r>
              <w:rPr>
                <w:rFonts w:asciiTheme="minorHAnsi" w:eastAsia="Times New Roman" w:hAnsiTheme="minorHAnsi" w:cstheme="minorHAnsi"/>
                <w:b/>
                <w:color w:val="515151"/>
                <w:sz w:val="22"/>
                <w:lang w:eastAsia="pt-BR"/>
              </w:rPr>
              <w:t xml:space="preserve"> – DESCRIÇÃO DO IMÓVEL 02</w:t>
            </w:r>
          </w:p>
        </w:tc>
        <w:tc>
          <w:tcPr>
            <w:tcW w:w="1077"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c>
          <w:tcPr>
            <w:tcW w:w="1317"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ITBI</w:t>
            </w:r>
          </w:p>
        </w:tc>
        <w:tc>
          <w:tcPr>
            <w:tcW w:w="1304"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6 %</w:t>
            </w:r>
          </w:p>
        </w:tc>
        <w:tc>
          <w:tcPr>
            <w:tcW w:w="1488"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0,00</w:t>
            </w:r>
          </w:p>
        </w:tc>
        <w:tc>
          <w:tcPr>
            <w:tcW w:w="1289"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r>
              <w:rPr>
                <w:rFonts w:asciiTheme="minorHAnsi" w:eastAsia="Times New Roman" w:hAnsiTheme="minorHAnsi" w:cstheme="minorHAnsi"/>
                <w:b/>
                <w:color w:val="515151"/>
                <w:sz w:val="20"/>
                <w:lang w:eastAsia="pt-BR"/>
              </w:rPr>
              <w:t>-</w:t>
            </w:r>
          </w:p>
        </w:tc>
      </w:tr>
      <w:tr w:rsidR="00954045" w:rsidTr="00954045">
        <w:tc>
          <w:tcPr>
            <w:tcW w:w="4400" w:type="dxa"/>
          </w:tcPr>
          <w:p w:rsidR="00954045" w:rsidRDefault="00954045" w:rsidP="002D2904">
            <w:pPr>
              <w:shd w:val="clear" w:color="auto" w:fill="FFFFFF"/>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w:t>
            </w:r>
          </w:p>
        </w:tc>
        <w:tc>
          <w:tcPr>
            <w:tcW w:w="1077"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p>
        </w:tc>
        <w:tc>
          <w:tcPr>
            <w:tcW w:w="1317"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p>
        </w:tc>
        <w:tc>
          <w:tcPr>
            <w:tcW w:w="1304"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p>
        </w:tc>
        <w:tc>
          <w:tcPr>
            <w:tcW w:w="1488"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p>
        </w:tc>
        <w:tc>
          <w:tcPr>
            <w:tcW w:w="1289" w:type="dxa"/>
          </w:tcPr>
          <w:p w:rsidR="00954045" w:rsidRDefault="00954045" w:rsidP="002D2904">
            <w:pPr>
              <w:jc w:val="center"/>
              <w:textAlignment w:val="baseline"/>
              <w:rPr>
                <w:rFonts w:asciiTheme="minorHAnsi" w:eastAsia="Times New Roman" w:hAnsiTheme="minorHAnsi" w:cstheme="minorHAnsi"/>
                <w:b/>
                <w:color w:val="515151"/>
                <w:sz w:val="20"/>
                <w:lang w:eastAsia="pt-BR"/>
              </w:rPr>
            </w:pPr>
          </w:p>
        </w:tc>
      </w:tr>
    </w:tbl>
    <w:p w:rsidR="00422CBB" w:rsidRDefault="00422CBB"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bookmarkStart w:id="0" w:name="_GoBack"/>
      <w:bookmarkEnd w:id="0"/>
    </w:p>
    <w:p w:rsidR="0030736D" w:rsidRPr="001D1BE9" w:rsidRDefault="00C66D06"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1)</w:t>
      </w:r>
      <w:r w:rsidR="0030736D" w:rsidRPr="001D1BE9">
        <w:rPr>
          <w:rFonts w:asciiTheme="minorHAnsi" w:eastAsia="Times New Roman" w:hAnsiTheme="minorHAnsi" w:cstheme="minorHAnsi"/>
          <w:b/>
          <w:color w:val="515151"/>
          <w:sz w:val="22"/>
          <w:lang w:eastAsia="pt-BR"/>
        </w:rPr>
        <w:t xml:space="preserve"> VALOR DE INTEGRALIZAÇÃO</w:t>
      </w:r>
      <w:r w:rsidR="001E727B" w:rsidRPr="001D1BE9">
        <w:rPr>
          <w:rFonts w:asciiTheme="minorHAnsi" w:eastAsia="Times New Roman" w:hAnsiTheme="minorHAnsi" w:cstheme="minorHAnsi"/>
          <w:b/>
          <w:color w:val="515151"/>
          <w:sz w:val="22"/>
          <w:lang w:eastAsia="pt-BR"/>
        </w:rPr>
        <w:t>:</w:t>
      </w:r>
    </w:p>
    <w:p w:rsidR="00145383" w:rsidRPr="001D1BE9" w:rsidRDefault="0014538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O valor monetário dos bens imóveis que serão transferidos e integralizados no capital social da empresa será o valor constante na Declaração de Imposto de Renda Pessoa Física do patriarca, do ano-calendário vigente e n</w:t>
      </w:r>
      <w:r w:rsidR="00C66D06" w:rsidRPr="001D1BE9">
        <w:rPr>
          <w:rFonts w:asciiTheme="minorHAnsi" w:eastAsia="Times New Roman" w:hAnsiTheme="minorHAnsi" w:cstheme="minorHAnsi"/>
          <w:color w:val="515151"/>
          <w:sz w:val="22"/>
          <w:lang w:eastAsia="pt-BR"/>
        </w:rPr>
        <w:t xml:space="preserve">ão pelo valor de mercado do bem – de acordo com o </w:t>
      </w:r>
      <w:r w:rsidRPr="001D1BE9">
        <w:rPr>
          <w:rFonts w:asciiTheme="minorHAnsi" w:eastAsia="Times New Roman" w:hAnsiTheme="minorHAnsi" w:cstheme="minorHAnsi"/>
          <w:b/>
          <w:color w:val="515151"/>
          <w:sz w:val="22"/>
          <w:lang w:eastAsia="pt-BR"/>
        </w:rPr>
        <w:t>Decreto Nº 3.000/99,</w:t>
      </w:r>
      <w:r w:rsidRPr="001D1BE9">
        <w:rPr>
          <w:rFonts w:asciiTheme="minorHAnsi" w:eastAsia="Times New Roman" w:hAnsiTheme="minorHAnsi" w:cstheme="minorHAnsi"/>
          <w:color w:val="515151"/>
          <w:sz w:val="22"/>
          <w:lang w:eastAsia="pt-BR"/>
        </w:rPr>
        <w:t xml:space="preserve"> art. 132 (Regulamento </w:t>
      </w:r>
      <w:r w:rsidR="005B2CEA" w:rsidRPr="001D1BE9">
        <w:rPr>
          <w:rFonts w:asciiTheme="minorHAnsi" w:eastAsia="Times New Roman" w:hAnsiTheme="minorHAnsi" w:cstheme="minorHAnsi"/>
          <w:color w:val="515151"/>
          <w:sz w:val="22"/>
          <w:lang w:eastAsia="pt-BR"/>
        </w:rPr>
        <w:t xml:space="preserve">do </w:t>
      </w:r>
      <w:r w:rsidRPr="001D1BE9">
        <w:rPr>
          <w:rFonts w:asciiTheme="minorHAnsi" w:eastAsia="Times New Roman" w:hAnsiTheme="minorHAnsi" w:cstheme="minorHAnsi"/>
          <w:color w:val="515151"/>
          <w:sz w:val="22"/>
          <w:lang w:eastAsia="pt-BR"/>
        </w:rPr>
        <w:t>Imposto de Renda).</w:t>
      </w:r>
    </w:p>
    <w:p w:rsidR="005B2CEA" w:rsidRPr="001D1BE9" w:rsidRDefault="005B2CEA"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1D1BE9"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2) </w:t>
      </w:r>
      <w:r w:rsidR="0030736D" w:rsidRPr="001D1BE9">
        <w:rPr>
          <w:rFonts w:asciiTheme="minorHAnsi" w:eastAsia="Times New Roman" w:hAnsiTheme="minorHAnsi" w:cstheme="minorHAnsi"/>
          <w:b/>
          <w:color w:val="515151"/>
          <w:sz w:val="22"/>
          <w:lang w:eastAsia="pt-BR"/>
        </w:rPr>
        <w:t>IMÓVEIS ADQUIRIDOS NA PLANTA E PARCELADOS PERANTE AS CONSTRUTORAS</w:t>
      </w:r>
      <w:r w:rsidR="00840DCC" w:rsidRPr="001D1BE9">
        <w:rPr>
          <w:rFonts w:asciiTheme="minorHAnsi" w:eastAsia="Times New Roman" w:hAnsiTheme="minorHAnsi" w:cstheme="minorHAnsi"/>
          <w:b/>
          <w:color w:val="515151"/>
          <w:sz w:val="22"/>
          <w:lang w:eastAsia="pt-BR"/>
        </w:rPr>
        <w:t>:</w:t>
      </w:r>
    </w:p>
    <w:p w:rsidR="0030736D" w:rsidRPr="001D1BE9" w:rsidRDefault="001D1BE9"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Pr>
          <w:rFonts w:asciiTheme="minorHAnsi" w:eastAsia="Times New Roman" w:hAnsiTheme="minorHAnsi" w:cstheme="minorHAnsi"/>
          <w:color w:val="515151"/>
          <w:sz w:val="22"/>
          <w:lang w:eastAsia="pt-BR"/>
        </w:rPr>
        <w:t>O</w:t>
      </w:r>
      <w:r w:rsidR="00DD3C99" w:rsidRPr="001D1BE9">
        <w:rPr>
          <w:rFonts w:asciiTheme="minorHAnsi" w:eastAsia="Times New Roman" w:hAnsiTheme="minorHAnsi" w:cstheme="minorHAnsi"/>
          <w:color w:val="515151"/>
          <w:sz w:val="22"/>
          <w:lang w:eastAsia="pt-BR"/>
        </w:rPr>
        <w:t xml:space="preserve"> </w:t>
      </w:r>
      <w:r w:rsidR="0030736D" w:rsidRPr="001D1BE9">
        <w:rPr>
          <w:rFonts w:asciiTheme="minorHAnsi" w:eastAsia="Times New Roman" w:hAnsiTheme="minorHAnsi" w:cstheme="minorHAnsi"/>
          <w:color w:val="515151"/>
          <w:sz w:val="22"/>
          <w:lang w:eastAsia="pt-BR"/>
        </w:rPr>
        <w:t>valor do imóvel para a integralização será o valor das parcelas pagas até o momento da constituição da empresa, e não o valor total do contrato de compromisso de compra e venda.</w:t>
      </w:r>
    </w:p>
    <w:p w:rsidR="00DD3C99" w:rsidRPr="001D1BE9" w:rsidRDefault="00DD3C99"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DD3C99"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lastRenderedPageBreak/>
        <w:t xml:space="preserve"> </w:t>
      </w:r>
      <w:r w:rsidR="0030736D" w:rsidRPr="001D1BE9">
        <w:rPr>
          <w:rFonts w:asciiTheme="minorHAnsi" w:eastAsia="Times New Roman" w:hAnsiTheme="minorHAnsi" w:cstheme="minorHAnsi"/>
          <w:color w:val="515151"/>
          <w:sz w:val="22"/>
          <w:lang w:eastAsia="pt-BR"/>
        </w:rPr>
        <w:t xml:space="preserve">Para a integralização do imóvel no capital social da Holding Patrimonial as construtoras poderão exigir o pagamento </w:t>
      </w:r>
      <w:r w:rsidR="001D1BE9">
        <w:rPr>
          <w:rFonts w:asciiTheme="minorHAnsi" w:eastAsia="Times New Roman" w:hAnsiTheme="minorHAnsi" w:cstheme="minorHAnsi"/>
          <w:color w:val="515151"/>
          <w:sz w:val="22"/>
          <w:lang w:eastAsia="pt-BR"/>
        </w:rPr>
        <w:t xml:space="preserve">da </w:t>
      </w:r>
      <w:r w:rsidR="001D1BE9" w:rsidRPr="001D1BE9">
        <w:rPr>
          <w:rFonts w:asciiTheme="minorHAnsi" w:eastAsia="Times New Roman" w:hAnsiTheme="minorHAnsi" w:cstheme="minorHAnsi"/>
          <w:color w:val="515151"/>
          <w:sz w:val="22"/>
          <w:lang w:eastAsia="pt-BR"/>
        </w:rPr>
        <w:t>taxa de transferência de direitos</w:t>
      </w:r>
      <w:r w:rsidR="0030736D" w:rsidRPr="001D1BE9">
        <w:rPr>
          <w:rFonts w:asciiTheme="minorHAnsi" w:eastAsia="Times New Roman" w:hAnsiTheme="minorHAnsi" w:cstheme="minorHAnsi"/>
          <w:color w:val="515151"/>
          <w:sz w:val="22"/>
          <w:lang w:eastAsia="pt-BR"/>
        </w:rPr>
        <w:t xml:space="preserve"> que varia de 2% a 5% do valor total do contrato.</w:t>
      </w:r>
    </w:p>
    <w:p w:rsidR="001B015B" w:rsidRPr="001D1BE9" w:rsidRDefault="001B015B"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30736D" w:rsidRPr="001D1BE9" w:rsidRDefault="00C35FC5"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3)</w:t>
      </w:r>
      <w:r w:rsidR="0030736D" w:rsidRPr="001D1BE9">
        <w:rPr>
          <w:rFonts w:asciiTheme="minorHAnsi" w:eastAsia="Times New Roman" w:hAnsiTheme="minorHAnsi" w:cstheme="minorHAnsi"/>
          <w:b/>
          <w:color w:val="515151"/>
          <w:sz w:val="22"/>
          <w:lang w:eastAsia="pt-BR"/>
        </w:rPr>
        <w:t xml:space="preserve"> CONFERÊNCIA DE BENS REALIZADA PELOS CARTÓRIOS DE REGISTRO DE IMÓVEIS</w:t>
      </w:r>
      <w:r w:rsidR="001B015B" w:rsidRPr="001D1BE9">
        <w:rPr>
          <w:rFonts w:asciiTheme="minorHAnsi" w:eastAsia="Times New Roman" w:hAnsiTheme="minorHAnsi" w:cstheme="minorHAnsi"/>
          <w:b/>
          <w:color w:val="515151"/>
          <w:sz w:val="22"/>
          <w:lang w:eastAsia="pt-BR"/>
        </w:rPr>
        <w:t>:</w:t>
      </w:r>
    </w:p>
    <w:p w:rsidR="001B015B" w:rsidRPr="001D1BE9" w:rsidRDefault="001B015B"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1B015B"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Após o arquivamento perante a Junta Comercial o contrato social deverá ser levado, juntamente com a guia de isenção ou recolhimento do ITBI perante os Cartórios de Registro de Imóveis para ser promovida a averbação transmitindo a titularidade dos bens imóveis para a sociedade.</w:t>
      </w:r>
    </w:p>
    <w:p w:rsidR="00C35FC5" w:rsidRDefault="00C35FC5"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1B015B"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C35FC5">
        <w:rPr>
          <w:rFonts w:asciiTheme="minorHAnsi" w:eastAsia="Times New Roman" w:hAnsiTheme="minorHAnsi" w:cstheme="minorHAnsi"/>
          <w:color w:val="515151"/>
          <w:sz w:val="22"/>
          <w:lang w:eastAsia="pt-BR"/>
        </w:rPr>
        <w:t>H</w:t>
      </w:r>
      <w:r w:rsidR="0030736D" w:rsidRPr="001D1BE9">
        <w:rPr>
          <w:rFonts w:asciiTheme="minorHAnsi" w:eastAsia="Times New Roman" w:hAnsiTheme="minorHAnsi" w:cstheme="minorHAnsi"/>
          <w:color w:val="515151"/>
          <w:sz w:val="22"/>
          <w:lang w:eastAsia="pt-BR"/>
        </w:rPr>
        <w:t xml:space="preserve">á Cartórios que entendem </w:t>
      </w:r>
      <w:r w:rsidR="00C35FC5">
        <w:rPr>
          <w:rFonts w:asciiTheme="minorHAnsi" w:eastAsia="Times New Roman" w:hAnsiTheme="minorHAnsi" w:cstheme="minorHAnsi"/>
          <w:color w:val="515151"/>
          <w:sz w:val="22"/>
          <w:lang w:eastAsia="pt-BR"/>
        </w:rPr>
        <w:t>que</w:t>
      </w:r>
      <w:r w:rsidR="0030736D" w:rsidRPr="001D1BE9">
        <w:rPr>
          <w:rFonts w:asciiTheme="minorHAnsi" w:eastAsia="Times New Roman" w:hAnsiTheme="minorHAnsi" w:cstheme="minorHAnsi"/>
          <w:color w:val="515151"/>
          <w:sz w:val="22"/>
          <w:lang w:eastAsia="pt-BR"/>
        </w:rPr>
        <w:t xml:space="preserve"> momento do registro </w:t>
      </w:r>
      <w:r w:rsidR="00C35FC5">
        <w:rPr>
          <w:rFonts w:asciiTheme="minorHAnsi" w:eastAsia="Times New Roman" w:hAnsiTheme="minorHAnsi" w:cstheme="minorHAnsi"/>
          <w:color w:val="515151"/>
          <w:sz w:val="22"/>
          <w:lang w:eastAsia="pt-BR"/>
        </w:rPr>
        <w:t>deve ser</w:t>
      </w:r>
      <w:r w:rsidR="0030736D" w:rsidRPr="001D1BE9">
        <w:rPr>
          <w:rFonts w:asciiTheme="minorHAnsi" w:eastAsia="Times New Roman" w:hAnsiTheme="minorHAnsi" w:cstheme="minorHAnsi"/>
          <w:color w:val="515151"/>
          <w:sz w:val="22"/>
          <w:lang w:eastAsia="pt-BR"/>
        </w:rPr>
        <w:t xml:space="preserve"> lavrada uma escritura pública com base no artigo 108 do Código Civil, alegando que a lavratura da escritura pública é essencial à validade do negócio.</w:t>
      </w:r>
    </w:p>
    <w:p w:rsidR="001B015B" w:rsidRPr="001D1BE9" w:rsidRDefault="001B015B"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1B015B"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Destarte, não paira dúvidas quanto à aplicabilidade do </w:t>
      </w:r>
      <w:r w:rsidR="0030736D" w:rsidRPr="001D1BE9">
        <w:rPr>
          <w:rFonts w:asciiTheme="minorHAnsi" w:eastAsia="Times New Roman" w:hAnsiTheme="minorHAnsi" w:cstheme="minorHAnsi"/>
          <w:b/>
          <w:color w:val="515151"/>
          <w:sz w:val="22"/>
          <w:lang w:eastAsia="pt-BR"/>
        </w:rPr>
        <w:t>art. 64 da Lei 8.934/94</w:t>
      </w:r>
      <w:r w:rsidRPr="001D1BE9">
        <w:rPr>
          <w:rFonts w:asciiTheme="minorHAnsi" w:eastAsia="Times New Roman" w:hAnsiTheme="minorHAnsi" w:cstheme="minorHAnsi"/>
          <w:b/>
          <w:color w:val="515151"/>
          <w:sz w:val="22"/>
          <w:lang w:eastAsia="pt-BR"/>
        </w:rPr>
        <w:t>,</w:t>
      </w:r>
      <w:r w:rsidR="0030736D" w:rsidRPr="001D1BE9">
        <w:rPr>
          <w:rFonts w:asciiTheme="minorHAnsi" w:eastAsia="Times New Roman" w:hAnsiTheme="minorHAnsi" w:cstheme="minorHAnsi"/>
          <w:color w:val="515151"/>
          <w:sz w:val="22"/>
          <w:lang w:eastAsia="pt-BR"/>
        </w:rPr>
        <w:t xml:space="preserve"> sendo tão somente o contrato social documento hábil para a transferência de bens para o capital social, não podendo os Cartórios exigirem a expedição da escritura pública nem a atualização do bem para o valor de mercado.</w:t>
      </w:r>
      <w:r w:rsidR="00C35FC5">
        <w:rPr>
          <w:rFonts w:asciiTheme="minorHAnsi" w:eastAsia="Times New Roman" w:hAnsiTheme="minorHAnsi" w:cstheme="minorHAnsi"/>
          <w:color w:val="515151"/>
          <w:sz w:val="22"/>
          <w:lang w:eastAsia="pt-BR"/>
        </w:rPr>
        <w:t xml:space="preserve"> Podendo ser necessário contestação judicial para evitar a cobrança.</w:t>
      </w:r>
    </w:p>
    <w:p w:rsidR="001B015B" w:rsidRPr="001D1BE9" w:rsidRDefault="001B015B"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21BF5"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4)</w:t>
      </w:r>
      <w:r w:rsidR="0030736D" w:rsidRPr="001D1BE9">
        <w:rPr>
          <w:rFonts w:asciiTheme="minorHAnsi" w:eastAsia="Times New Roman" w:hAnsiTheme="minorHAnsi" w:cstheme="minorHAnsi"/>
          <w:b/>
          <w:color w:val="515151"/>
          <w:sz w:val="22"/>
          <w:lang w:eastAsia="pt-BR"/>
        </w:rPr>
        <w:t> A ANUÊNCIA DO CÔNJUGE PARA A INTEGRALIZAÇÃO DO CAPITAL SOCIAL E NA DOAÇÃO DE QUOTAS</w:t>
      </w:r>
      <w:r w:rsidR="001B015B" w:rsidRPr="001D1BE9">
        <w:rPr>
          <w:rFonts w:asciiTheme="minorHAnsi" w:eastAsia="Times New Roman" w:hAnsiTheme="minorHAnsi" w:cstheme="minorHAnsi"/>
          <w:b/>
          <w:color w:val="515151"/>
          <w:sz w:val="22"/>
          <w:lang w:eastAsia="pt-BR"/>
        </w:rPr>
        <w:t>:</w:t>
      </w:r>
    </w:p>
    <w:p w:rsidR="001B015B" w:rsidRPr="001D1BE9" w:rsidRDefault="001B015B"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30736D" w:rsidRPr="001D1BE9" w:rsidRDefault="003A73BE"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A cláusula da outorga é essencial para a validade do ato, devendo estar expressamente no contrato, com a devida assinatura </w:t>
      </w:r>
      <w:proofErr w:type="gramStart"/>
      <w:r w:rsidR="0030736D" w:rsidRPr="001D1BE9">
        <w:rPr>
          <w:rFonts w:asciiTheme="minorHAnsi" w:eastAsia="Times New Roman" w:hAnsiTheme="minorHAnsi" w:cstheme="minorHAnsi"/>
          <w:color w:val="515151"/>
          <w:sz w:val="22"/>
          <w:lang w:eastAsia="pt-BR"/>
        </w:rPr>
        <w:t>do(</w:t>
      </w:r>
      <w:proofErr w:type="gramEnd"/>
      <w:r w:rsidR="0030736D" w:rsidRPr="001D1BE9">
        <w:rPr>
          <w:rFonts w:asciiTheme="minorHAnsi" w:eastAsia="Times New Roman" w:hAnsiTheme="minorHAnsi" w:cstheme="minorHAnsi"/>
          <w:color w:val="515151"/>
          <w:sz w:val="22"/>
          <w:lang w:eastAsia="pt-BR"/>
        </w:rPr>
        <w:t>a) outorgante ao final do contrato.</w:t>
      </w:r>
      <w:r w:rsidR="003B6BA5" w:rsidRPr="001D1BE9">
        <w:rPr>
          <w:rFonts w:asciiTheme="minorHAnsi" w:eastAsia="Times New Roman" w:hAnsiTheme="minorHAnsi" w:cstheme="minorHAnsi"/>
          <w:color w:val="515151"/>
          <w:sz w:val="22"/>
          <w:lang w:eastAsia="pt-BR"/>
        </w:rPr>
        <w:t xml:space="preserve"> </w:t>
      </w:r>
      <w:r w:rsidR="0030736D" w:rsidRPr="001D1BE9">
        <w:rPr>
          <w:rFonts w:asciiTheme="minorHAnsi" w:eastAsia="Times New Roman" w:hAnsiTheme="minorHAnsi" w:cstheme="minorHAnsi"/>
          <w:color w:val="515151"/>
          <w:sz w:val="22"/>
          <w:lang w:eastAsia="pt-BR"/>
        </w:rPr>
        <w:t>Desta forma consoante regra no artigo 1.647, inciso I</w:t>
      </w:r>
      <w:r w:rsidR="003B6BA5" w:rsidRPr="001D1BE9">
        <w:rPr>
          <w:rFonts w:asciiTheme="minorHAnsi" w:eastAsia="Times New Roman" w:hAnsiTheme="minorHAnsi" w:cstheme="minorHAnsi"/>
          <w:color w:val="515151"/>
          <w:sz w:val="22"/>
          <w:lang w:eastAsia="pt-BR"/>
        </w:rPr>
        <w:t xml:space="preserve"> do Código Civil</w:t>
      </w:r>
      <w:r w:rsidR="0030736D" w:rsidRPr="001D1BE9">
        <w:rPr>
          <w:rFonts w:asciiTheme="minorHAnsi" w:eastAsia="Times New Roman" w:hAnsiTheme="minorHAnsi" w:cstheme="minorHAnsi"/>
          <w:color w:val="515151"/>
          <w:sz w:val="22"/>
          <w:lang w:eastAsia="pt-BR"/>
        </w:rPr>
        <w:t>, no contrato social deverá constar a anuência do cônjuge.</w:t>
      </w:r>
    </w:p>
    <w:p w:rsidR="003B6BA5" w:rsidRPr="001D1BE9" w:rsidRDefault="003B6BA5"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B6BA5"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A autorização do cônjuge se dará no momento da integralização do capital social, permitindo a transferência do patrimônio para a pessoa jurídica, e também será inerente a outorga na alteração contratual, no momento da doação de quotas para os herdeiros.</w:t>
      </w:r>
    </w:p>
    <w:p w:rsidR="00C35073" w:rsidRPr="001D1BE9" w:rsidRDefault="00C3507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21BF5"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5) </w:t>
      </w:r>
      <w:r w:rsidR="0030736D" w:rsidRPr="001D1BE9">
        <w:rPr>
          <w:rFonts w:asciiTheme="minorHAnsi" w:eastAsia="Times New Roman" w:hAnsiTheme="minorHAnsi" w:cstheme="minorHAnsi"/>
          <w:b/>
          <w:color w:val="515151"/>
          <w:sz w:val="22"/>
          <w:lang w:eastAsia="pt-BR"/>
        </w:rPr>
        <w:t>INCIDÊNCIA DO ITBI (IMPOSTO SOBR</w:t>
      </w:r>
      <w:r>
        <w:rPr>
          <w:rFonts w:asciiTheme="minorHAnsi" w:eastAsia="Times New Roman" w:hAnsiTheme="minorHAnsi" w:cstheme="minorHAnsi"/>
          <w:b/>
          <w:color w:val="515151"/>
          <w:sz w:val="22"/>
          <w:lang w:eastAsia="pt-BR"/>
        </w:rPr>
        <w:t>E A TRANSMISSÃO DE BENS IMÓVEIS)</w:t>
      </w:r>
      <w:r w:rsidR="00C56AA1" w:rsidRPr="001D1BE9">
        <w:rPr>
          <w:rFonts w:asciiTheme="minorHAnsi" w:eastAsia="Times New Roman" w:hAnsiTheme="minorHAnsi" w:cstheme="minorHAnsi"/>
          <w:b/>
          <w:color w:val="515151"/>
          <w:sz w:val="22"/>
          <w:lang w:eastAsia="pt-BR"/>
        </w:rPr>
        <w:t>:</w:t>
      </w:r>
    </w:p>
    <w:p w:rsidR="00C56AA1" w:rsidRPr="001D1BE9" w:rsidRDefault="00C56AA1"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30736D" w:rsidRPr="001D1BE9" w:rsidRDefault="00C56AA1"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O </w:t>
      </w:r>
      <w:r w:rsidR="0030736D" w:rsidRPr="001D1BE9">
        <w:rPr>
          <w:rFonts w:asciiTheme="minorHAnsi" w:eastAsia="Times New Roman" w:hAnsiTheme="minorHAnsi" w:cstheme="minorHAnsi"/>
          <w:b/>
          <w:color w:val="515151"/>
          <w:sz w:val="22"/>
          <w:lang w:eastAsia="pt-BR"/>
        </w:rPr>
        <w:t>ITBI</w:t>
      </w:r>
      <w:r w:rsidR="0030736D" w:rsidRPr="001D1BE9">
        <w:rPr>
          <w:rFonts w:asciiTheme="minorHAnsi" w:eastAsia="Times New Roman" w:hAnsiTheme="minorHAnsi" w:cstheme="minorHAnsi"/>
          <w:color w:val="515151"/>
          <w:sz w:val="22"/>
          <w:lang w:eastAsia="pt-BR"/>
        </w:rPr>
        <w:t xml:space="preserve"> é um tributo de competência municipal, que tem como fato gerador a transmissão, </w:t>
      </w:r>
      <w:r w:rsidR="0030736D" w:rsidRPr="001D1BE9">
        <w:rPr>
          <w:rFonts w:asciiTheme="minorHAnsi" w:eastAsia="Times New Roman" w:hAnsiTheme="minorHAnsi" w:cstheme="minorHAnsi"/>
          <w:b/>
          <w:color w:val="515151"/>
          <w:sz w:val="22"/>
          <w:lang w:eastAsia="pt-BR"/>
        </w:rPr>
        <w:t>‘</w:t>
      </w:r>
      <w:r w:rsidR="0030736D" w:rsidRPr="001D1BE9">
        <w:rPr>
          <w:rFonts w:asciiTheme="minorHAnsi" w:eastAsia="Times New Roman" w:hAnsiTheme="minorHAnsi" w:cstheme="minorHAnsi"/>
          <w:b/>
          <w:i/>
          <w:iCs/>
          <w:color w:val="515151"/>
          <w:sz w:val="22"/>
          <w:lang w:eastAsia="pt-BR"/>
        </w:rPr>
        <w:t>‘inter vivos’’</w:t>
      </w:r>
      <w:r w:rsidR="0030736D" w:rsidRPr="001D1BE9">
        <w:rPr>
          <w:rFonts w:asciiTheme="minorHAnsi" w:eastAsia="Times New Roman" w:hAnsiTheme="minorHAnsi" w:cstheme="minorHAnsi"/>
          <w:b/>
          <w:color w:val="515151"/>
          <w:sz w:val="22"/>
          <w:lang w:eastAsia="pt-BR"/>
        </w:rPr>
        <w:t>,</w:t>
      </w:r>
      <w:r w:rsidR="0030736D" w:rsidRPr="001D1BE9">
        <w:rPr>
          <w:rFonts w:asciiTheme="minorHAnsi" w:eastAsia="Times New Roman" w:hAnsiTheme="minorHAnsi" w:cstheme="minorHAnsi"/>
          <w:color w:val="515151"/>
          <w:sz w:val="22"/>
          <w:lang w:eastAsia="pt-BR"/>
        </w:rPr>
        <w:t xml:space="preserve"> a qualquer título, de propriedade ou domínio útil de bens imóveis</w:t>
      </w:r>
      <w:r w:rsidR="00460C7B">
        <w:rPr>
          <w:rFonts w:asciiTheme="minorHAnsi" w:eastAsia="Times New Roman" w:hAnsiTheme="minorHAnsi" w:cstheme="minorHAnsi"/>
          <w:color w:val="515151"/>
          <w:sz w:val="22"/>
          <w:lang w:eastAsia="pt-BR"/>
        </w:rPr>
        <w:t xml:space="preserve">. </w:t>
      </w:r>
      <w:r w:rsidR="0030736D" w:rsidRPr="001D1BE9">
        <w:rPr>
          <w:rFonts w:asciiTheme="minorHAnsi" w:eastAsia="Times New Roman" w:hAnsiTheme="minorHAnsi" w:cstheme="minorHAnsi"/>
          <w:color w:val="515151"/>
          <w:sz w:val="22"/>
          <w:lang w:eastAsia="pt-BR"/>
        </w:rPr>
        <w:t xml:space="preserve">Conforme regra do </w:t>
      </w:r>
      <w:r w:rsidR="0030736D" w:rsidRPr="001D1BE9">
        <w:rPr>
          <w:rFonts w:asciiTheme="minorHAnsi" w:eastAsia="Times New Roman" w:hAnsiTheme="minorHAnsi" w:cstheme="minorHAnsi"/>
          <w:b/>
          <w:color w:val="515151"/>
          <w:sz w:val="22"/>
          <w:lang w:eastAsia="pt-BR"/>
        </w:rPr>
        <w:t>artigo 156, §2º, inciso I, da Carta Magna,</w:t>
      </w:r>
      <w:r w:rsidR="0030736D" w:rsidRPr="001D1BE9">
        <w:rPr>
          <w:rFonts w:asciiTheme="minorHAnsi" w:eastAsia="Times New Roman" w:hAnsiTheme="minorHAnsi" w:cstheme="minorHAnsi"/>
          <w:color w:val="515151"/>
          <w:sz w:val="22"/>
          <w:lang w:eastAsia="pt-BR"/>
        </w:rPr>
        <w:t xml:space="preserve"> o ITBI não terá a incidência nas hipóteses de integralização de capital social, salvo quando a atividade preponderante desses bens seja a compra e venda e a locação.</w:t>
      </w:r>
    </w:p>
    <w:p w:rsidR="007118CC" w:rsidRDefault="007118CC" w:rsidP="00F644C6">
      <w:pPr>
        <w:shd w:val="clear" w:color="auto" w:fill="FFFFFF"/>
        <w:spacing w:after="0" w:line="240" w:lineRule="auto"/>
        <w:jc w:val="both"/>
        <w:textAlignment w:val="baseline"/>
        <w:rPr>
          <w:rFonts w:asciiTheme="minorHAnsi" w:hAnsiTheme="minorHAnsi" w:cstheme="minorHAnsi"/>
          <w:sz w:val="22"/>
        </w:rPr>
      </w:pPr>
    </w:p>
    <w:p w:rsidR="00460C7B" w:rsidRPr="001D1BE9" w:rsidRDefault="00460C7B"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460C7B"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Pr>
          <w:rFonts w:asciiTheme="minorHAnsi" w:eastAsia="Times New Roman" w:hAnsiTheme="minorHAnsi" w:cstheme="minorHAnsi"/>
          <w:b/>
          <w:color w:val="515151"/>
          <w:sz w:val="22"/>
          <w:lang w:eastAsia="pt-BR"/>
        </w:rPr>
        <w:t xml:space="preserve">6) </w:t>
      </w:r>
      <w:r w:rsidR="0030736D" w:rsidRPr="001D1BE9">
        <w:rPr>
          <w:rFonts w:asciiTheme="minorHAnsi" w:eastAsia="Times New Roman" w:hAnsiTheme="minorHAnsi" w:cstheme="minorHAnsi"/>
          <w:b/>
          <w:color w:val="515151"/>
          <w:sz w:val="22"/>
          <w:lang w:eastAsia="pt-BR"/>
        </w:rPr>
        <w:t>REGIME DE TRIBUTAÇÃO</w:t>
      </w:r>
      <w:r w:rsidR="00FD262C" w:rsidRPr="001D1BE9">
        <w:rPr>
          <w:rFonts w:asciiTheme="minorHAnsi" w:eastAsia="Times New Roman" w:hAnsiTheme="minorHAnsi" w:cstheme="minorHAnsi"/>
          <w:b/>
          <w:color w:val="515151"/>
          <w:sz w:val="22"/>
          <w:lang w:eastAsia="pt-BR"/>
        </w:rPr>
        <w:t>:</w:t>
      </w:r>
    </w:p>
    <w:p w:rsidR="00FD262C" w:rsidRPr="001D1BE9" w:rsidRDefault="00FD262C"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445346" w:rsidRPr="001D1BE9" w:rsidRDefault="00445346"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Consoante </w:t>
      </w:r>
      <w:r w:rsidR="0030736D" w:rsidRPr="001D1BE9">
        <w:rPr>
          <w:rFonts w:asciiTheme="minorHAnsi" w:eastAsia="Times New Roman" w:hAnsiTheme="minorHAnsi" w:cstheme="minorHAnsi"/>
          <w:b/>
          <w:color w:val="515151"/>
          <w:sz w:val="22"/>
          <w:lang w:eastAsia="pt-BR"/>
        </w:rPr>
        <w:t xml:space="preserve">artigo 13 da Lei 9.718/1998, </w:t>
      </w:r>
      <w:r w:rsidR="0030736D" w:rsidRPr="001D1BE9">
        <w:rPr>
          <w:rFonts w:asciiTheme="minorHAnsi" w:eastAsia="Times New Roman" w:hAnsiTheme="minorHAnsi" w:cstheme="minorHAnsi"/>
          <w:color w:val="515151"/>
          <w:sz w:val="22"/>
          <w:lang w:eastAsia="pt-BR"/>
        </w:rPr>
        <w:t xml:space="preserve">a pessoa jurídica cuja receita bruta total, no ano-calendário anterior, tenha sido igual ou inferior a R$ 78.000.000,00 (setenta e oito milhões de reais), </w:t>
      </w:r>
      <w:r w:rsidR="009C572D" w:rsidRPr="001D1BE9">
        <w:rPr>
          <w:rFonts w:asciiTheme="minorHAnsi" w:eastAsia="Times New Roman" w:hAnsiTheme="minorHAnsi" w:cstheme="minorHAnsi"/>
          <w:color w:val="515151"/>
          <w:sz w:val="22"/>
          <w:lang w:eastAsia="pt-BR"/>
        </w:rPr>
        <w:t xml:space="preserve">ou de R$ 6,5 milhões multiplicados pela quantia de meses de atividade do ano-calendário anterior, desde que este seja menor que doze meses, </w:t>
      </w:r>
      <w:r w:rsidR="0030736D" w:rsidRPr="001D1BE9">
        <w:rPr>
          <w:rFonts w:asciiTheme="minorHAnsi" w:eastAsia="Times New Roman" w:hAnsiTheme="minorHAnsi" w:cstheme="minorHAnsi"/>
          <w:color w:val="515151"/>
          <w:sz w:val="22"/>
          <w:lang w:eastAsia="pt-BR"/>
        </w:rPr>
        <w:t xml:space="preserve">poderá optar pela tributação com base no lucro presumido. </w:t>
      </w:r>
    </w:p>
    <w:p w:rsidR="00445346" w:rsidRPr="001D1BE9" w:rsidRDefault="00445346"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9A0797" w:rsidRPr="001D1BE9" w:rsidRDefault="009A0797"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D37894"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Pr>
          <w:rFonts w:asciiTheme="minorHAnsi" w:eastAsia="Times New Roman" w:hAnsiTheme="minorHAnsi" w:cstheme="minorHAnsi"/>
          <w:b/>
          <w:bCs/>
          <w:color w:val="515151"/>
          <w:sz w:val="22"/>
          <w:lang w:eastAsia="pt-BR"/>
        </w:rPr>
        <w:t>7</w:t>
      </w:r>
      <w:r w:rsidR="0030736D" w:rsidRPr="001D1BE9">
        <w:rPr>
          <w:rFonts w:asciiTheme="minorHAnsi" w:eastAsia="Times New Roman" w:hAnsiTheme="minorHAnsi" w:cstheme="minorHAnsi"/>
          <w:b/>
          <w:bCs/>
          <w:color w:val="515151"/>
          <w:sz w:val="22"/>
          <w:lang w:eastAsia="pt-BR"/>
        </w:rPr>
        <w:t>) IRPJ – Imposto de Renda da Pessoa Jurídica</w:t>
      </w:r>
      <w:r w:rsidR="00D167DC" w:rsidRPr="001D1BE9">
        <w:rPr>
          <w:rFonts w:asciiTheme="minorHAnsi" w:eastAsia="Times New Roman" w:hAnsiTheme="minorHAnsi" w:cstheme="minorHAnsi"/>
          <w:b/>
          <w:bCs/>
          <w:color w:val="515151"/>
          <w:sz w:val="22"/>
          <w:lang w:eastAsia="pt-BR"/>
        </w:rPr>
        <w:t>:</w:t>
      </w:r>
    </w:p>
    <w:p w:rsidR="009C5AFA" w:rsidRPr="001D1BE9" w:rsidRDefault="009C5AFA"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D167DC"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Sobre as receitas oriundas de locações a alíquota é 15%. Essa alíquota será aplicada na base de cálculo de 32% sobre a receita bruta apurada. Essa regra está prevista no </w:t>
      </w:r>
      <w:r w:rsidR="0030736D" w:rsidRPr="001D1BE9">
        <w:rPr>
          <w:rFonts w:asciiTheme="minorHAnsi" w:eastAsia="Times New Roman" w:hAnsiTheme="minorHAnsi" w:cstheme="minorHAnsi"/>
          <w:b/>
          <w:color w:val="515151"/>
          <w:sz w:val="22"/>
          <w:lang w:eastAsia="pt-BR"/>
        </w:rPr>
        <w:t>artigo 8º da Instrução Normativa SRF nº 93/1997.</w:t>
      </w:r>
      <w:r w:rsidR="0030736D" w:rsidRPr="001D1BE9">
        <w:rPr>
          <w:rFonts w:asciiTheme="minorHAnsi" w:eastAsia="Times New Roman" w:hAnsiTheme="minorHAnsi" w:cstheme="minorHAnsi"/>
          <w:color w:val="515151"/>
          <w:sz w:val="22"/>
          <w:lang w:eastAsia="pt-BR"/>
        </w:rPr>
        <w:t xml:space="preserve"> Levando em consideração que a alíquota é de 15% sobre a base de cálculo de 32% sobre a receita bruta, o custo tributário final é de 4,80%.</w:t>
      </w:r>
    </w:p>
    <w:p w:rsidR="009C5AFA" w:rsidRPr="001D1BE9" w:rsidRDefault="009C5AFA"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9C5AFA"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Cabe explicitar que</w:t>
      </w:r>
      <w:r w:rsidR="0030736D" w:rsidRPr="001D1BE9">
        <w:rPr>
          <w:rFonts w:asciiTheme="minorHAnsi" w:eastAsia="Times New Roman" w:hAnsiTheme="minorHAnsi" w:cstheme="minorHAnsi"/>
          <w:b/>
          <w:color w:val="515151"/>
          <w:sz w:val="22"/>
          <w:lang w:eastAsia="pt-BR"/>
        </w:rPr>
        <w:t xml:space="preserve"> artigo 4º da Lei nº 9.430/96, </w:t>
      </w:r>
      <w:r w:rsidR="0030736D" w:rsidRPr="001D1BE9">
        <w:rPr>
          <w:rFonts w:asciiTheme="minorHAnsi" w:eastAsia="Times New Roman" w:hAnsiTheme="minorHAnsi" w:cstheme="minorHAnsi"/>
          <w:color w:val="515151"/>
          <w:sz w:val="22"/>
          <w:lang w:eastAsia="pt-BR"/>
        </w:rPr>
        <w:t xml:space="preserve">dispõe que a parcela do lucro real, presumido ou arbitrado, que exceder o valor resultante da multiplicação de R$ 20.000,00 (vinte mil reais) pelo número de meses do </w:t>
      </w:r>
      <w:r w:rsidR="0030736D" w:rsidRPr="001D1BE9">
        <w:rPr>
          <w:rFonts w:asciiTheme="minorHAnsi" w:eastAsia="Times New Roman" w:hAnsiTheme="minorHAnsi" w:cstheme="minorHAnsi"/>
          <w:color w:val="515151"/>
          <w:sz w:val="22"/>
          <w:lang w:eastAsia="pt-BR"/>
        </w:rPr>
        <w:lastRenderedPageBreak/>
        <w:t>respectivo período de apuração estará sujeita a incidência de adicional do imposto de renda à alíquota de 10%. Sendo assim, a Holding Patrimonial que auferir o lucro mensal superior a R$ 20.000,00 (vinte mil reais) ao mês, ou superior a R$ 60.000,00 (sessenta mil) no trimestre terá que apurar o adicional. Todavia os 10% irão incidir tão somente sobre o montante que ultrapassar o limite estabelecido.</w:t>
      </w:r>
    </w:p>
    <w:p w:rsidR="00503AB4" w:rsidRPr="001D1BE9" w:rsidRDefault="00503AB4"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6951D6"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Pr>
          <w:rFonts w:asciiTheme="minorHAnsi" w:eastAsia="Times New Roman" w:hAnsiTheme="minorHAnsi" w:cstheme="minorHAnsi"/>
          <w:b/>
          <w:bCs/>
          <w:color w:val="515151"/>
          <w:sz w:val="22"/>
          <w:lang w:eastAsia="pt-BR"/>
        </w:rPr>
        <w:t>8</w:t>
      </w:r>
      <w:r w:rsidR="0030736D" w:rsidRPr="001D1BE9">
        <w:rPr>
          <w:rFonts w:asciiTheme="minorHAnsi" w:eastAsia="Times New Roman" w:hAnsiTheme="minorHAnsi" w:cstheme="minorHAnsi"/>
          <w:b/>
          <w:bCs/>
          <w:color w:val="515151"/>
          <w:sz w:val="22"/>
          <w:lang w:eastAsia="pt-BR"/>
        </w:rPr>
        <w:t>) CSLL -</w:t>
      </w:r>
      <w:r w:rsidR="00366753" w:rsidRPr="001D1BE9">
        <w:rPr>
          <w:rFonts w:asciiTheme="minorHAnsi" w:eastAsia="Times New Roman" w:hAnsiTheme="minorHAnsi" w:cstheme="minorHAnsi"/>
          <w:b/>
          <w:bCs/>
          <w:color w:val="515151"/>
          <w:sz w:val="22"/>
          <w:lang w:eastAsia="pt-BR"/>
        </w:rPr>
        <w:t xml:space="preserve"> </w:t>
      </w:r>
      <w:r w:rsidR="0030736D" w:rsidRPr="001D1BE9">
        <w:rPr>
          <w:rFonts w:asciiTheme="minorHAnsi" w:eastAsia="Times New Roman" w:hAnsiTheme="minorHAnsi" w:cstheme="minorHAnsi"/>
          <w:b/>
          <w:bCs/>
          <w:color w:val="515151"/>
          <w:sz w:val="22"/>
          <w:lang w:eastAsia="pt-BR"/>
        </w:rPr>
        <w:t>Contribuição Social Sobre o Lucro</w:t>
      </w:r>
      <w:r w:rsidR="00366753" w:rsidRPr="001D1BE9">
        <w:rPr>
          <w:rFonts w:asciiTheme="minorHAnsi" w:eastAsia="Times New Roman" w:hAnsiTheme="minorHAnsi" w:cstheme="minorHAnsi"/>
          <w:b/>
          <w:bCs/>
          <w:color w:val="515151"/>
          <w:sz w:val="22"/>
          <w:lang w:eastAsia="pt-BR"/>
        </w:rPr>
        <w:t>:</w:t>
      </w:r>
    </w:p>
    <w:p w:rsidR="00366753" w:rsidRPr="001D1BE9" w:rsidRDefault="0036675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6675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N</w:t>
      </w:r>
      <w:r w:rsidR="0030736D" w:rsidRPr="001D1BE9">
        <w:rPr>
          <w:rFonts w:asciiTheme="minorHAnsi" w:eastAsia="Times New Roman" w:hAnsiTheme="minorHAnsi" w:cstheme="minorHAnsi"/>
          <w:color w:val="515151"/>
          <w:sz w:val="22"/>
          <w:lang w:eastAsia="pt-BR"/>
        </w:rPr>
        <w:t xml:space="preserve">o tocante a </w:t>
      </w:r>
      <w:r w:rsidR="0030736D" w:rsidRPr="001D1BE9">
        <w:rPr>
          <w:rFonts w:asciiTheme="minorHAnsi" w:eastAsia="Times New Roman" w:hAnsiTheme="minorHAnsi" w:cstheme="minorHAnsi"/>
          <w:b/>
          <w:color w:val="515151"/>
          <w:sz w:val="22"/>
          <w:lang w:eastAsia="pt-BR"/>
        </w:rPr>
        <w:t>CSLL</w:t>
      </w:r>
      <w:r w:rsidR="0030736D" w:rsidRPr="001D1BE9">
        <w:rPr>
          <w:rFonts w:asciiTheme="minorHAnsi" w:eastAsia="Times New Roman" w:hAnsiTheme="minorHAnsi" w:cstheme="minorHAnsi"/>
          <w:color w:val="515151"/>
          <w:sz w:val="22"/>
          <w:lang w:eastAsia="pt-BR"/>
        </w:rPr>
        <w:t xml:space="preserve"> alíquota da Holding Patrimonial optante pelo Lucro Presumido é de 9% aplicada sobre a base de cálculo de 32%, consoante regras dos </w:t>
      </w:r>
      <w:r w:rsidR="0030736D" w:rsidRPr="001D1BE9">
        <w:rPr>
          <w:rFonts w:asciiTheme="minorHAnsi" w:eastAsia="Times New Roman" w:hAnsiTheme="minorHAnsi" w:cstheme="minorHAnsi"/>
          <w:b/>
          <w:color w:val="515151"/>
          <w:sz w:val="22"/>
          <w:lang w:eastAsia="pt-BR"/>
        </w:rPr>
        <w:t>artigos 3º e 31</w:t>
      </w:r>
      <w:r w:rsidR="003A7ABC" w:rsidRPr="001D1BE9">
        <w:rPr>
          <w:rFonts w:asciiTheme="minorHAnsi" w:eastAsia="Times New Roman" w:hAnsiTheme="minorHAnsi" w:cstheme="minorHAnsi"/>
          <w:b/>
          <w:color w:val="515151"/>
          <w:sz w:val="22"/>
          <w:lang w:eastAsia="pt-BR"/>
        </w:rPr>
        <w:t xml:space="preserve"> da Instrução Normativa SRF nº 1700</w:t>
      </w:r>
      <w:r w:rsidR="0030736D" w:rsidRPr="001D1BE9">
        <w:rPr>
          <w:rFonts w:asciiTheme="minorHAnsi" w:eastAsia="Times New Roman" w:hAnsiTheme="minorHAnsi" w:cstheme="minorHAnsi"/>
          <w:b/>
          <w:color w:val="515151"/>
          <w:sz w:val="22"/>
          <w:lang w:eastAsia="pt-BR"/>
        </w:rPr>
        <w:t>/20</w:t>
      </w:r>
      <w:r w:rsidR="003A7ABC" w:rsidRPr="001D1BE9">
        <w:rPr>
          <w:rFonts w:asciiTheme="minorHAnsi" w:eastAsia="Times New Roman" w:hAnsiTheme="minorHAnsi" w:cstheme="minorHAnsi"/>
          <w:b/>
          <w:color w:val="515151"/>
          <w:sz w:val="22"/>
          <w:lang w:eastAsia="pt-BR"/>
        </w:rPr>
        <w:t>17</w:t>
      </w:r>
      <w:r w:rsidR="0030736D" w:rsidRPr="001D1BE9">
        <w:rPr>
          <w:rFonts w:asciiTheme="minorHAnsi" w:eastAsia="Times New Roman" w:hAnsiTheme="minorHAnsi" w:cstheme="minorHAnsi"/>
          <w:b/>
          <w:color w:val="515151"/>
          <w:sz w:val="22"/>
          <w:lang w:eastAsia="pt-BR"/>
        </w:rPr>
        <w:t>.</w:t>
      </w:r>
      <w:r w:rsidRPr="001D1BE9">
        <w:rPr>
          <w:rFonts w:asciiTheme="minorHAnsi" w:eastAsia="Times New Roman" w:hAnsiTheme="minorHAnsi" w:cstheme="minorHAnsi"/>
          <w:b/>
          <w:color w:val="515151"/>
          <w:sz w:val="22"/>
          <w:lang w:eastAsia="pt-BR"/>
        </w:rPr>
        <w:t xml:space="preserve"> </w:t>
      </w:r>
      <w:r w:rsidR="0030736D" w:rsidRPr="001D1BE9">
        <w:rPr>
          <w:rFonts w:asciiTheme="minorHAnsi" w:eastAsia="Times New Roman" w:hAnsiTheme="minorHAnsi" w:cstheme="minorHAnsi"/>
          <w:color w:val="515151"/>
          <w:sz w:val="22"/>
          <w:lang w:eastAsia="pt-BR"/>
        </w:rPr>
        <w:t xml:space="preserve">Levando em conta que a </w:t>
      </w:r>
      <w:r w:rsidR="0030736D" w:rsidRPr="001D1BE9">
        <w:rPr>
          <w:rFonts w:asciiTheme="minorHAnsi" w:eastAsia="Times New Roman" w:hAnsiTheme="minorHAnsi" w:cstheme="minorHAnsi"/>
          <w:b/>
          <w:color w:val="515151"/>
          <w:sz w:val="22"/>
          <w:lang w:eastAsia="pt-BR"/>
        </w:rPr>
        <w:t>CSLL</w:t>
      </w:r>
      <w:r w:rsidR="0030736D" w:rsidRPr="001D1BE9">
        <w:rPr>
          <w:rFonts w:asciiTheme="minorHAnsi" w:eastAsia="Times New Roman" w:hAnsiTheme="minorHAnsi" w:cstheme="minorHAnsi"/>
          <w:color w:val="515151"/>
          <w:sz w:val="22"/>
          <w:lang w:eastAsia="pt-BR"/>
        </w:rPr>
        <w:t xml:space="preserve"> será tributada pela alíquota de 9% sobre a base de cálculo de 32%, o custo tributário final é de 2,88%.</w:t>
      </w:r>
    </w:p>
    <w:p w:rsidR="003A7ABC" w:rsidRPr="001D1BE9" w:rsidRDefault="003A7ABC"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6951D6" w:rsidP="00F644C6">
      <w:pPr>
        <w:shd w:val="clear" w:color="auto" w:fill="FFFFFF"/>
        <w:spacing w:after="0" w:line="240" w:lineRule="auto"/>
        <w:jc w:val="both"/>
        <w:textAlignment w:val="baseline"/>
        <w:rPr>
          <w:rFonts w:asciiTheme="minorHAnsi" w:eastAsia="Times New Roman" w:hAnsiTheme="minorHAnsi" w:cstheme="minorHAnsi"/>
          <w:b/>
          <w:bCs/>
          <w:color w:val="515151"/>
          <w:sz w:val="22"/>
          <w:lang w:eastAsia="pt-BR"/>
        </w:rPr>
      </w:pPr>
      <w:r>
        <w:rPr>
          <w:rFonts w:asciiTheme="minorHAnsi" w:eastAsia="Times New Roman" w:hAnsiTheme="minorHAnsi" w:cstheme="minorHAnsi"/>
          <w:b/>
          <w:bCs/>
          <w:color w:val="515151"/>
          <w:sz w:val="22"/>
          <w:lang w:eastAsia="pt-BR"/>
        </w:rPr>
        <w:t>9</w:t>
      </w:r>
      <w:r w:rsidR="0030736D" w:rsidRPr="001D1BE9">
        <w:rPr>
          <w:rFonts w:asciiTheme="minorHAnsi" w:eastAsia="Times New Roman" w:hAnsiTheme="minorHAnsi" w:cstheme="minorHAnsi"/>
          <w:b/>
          <w:bCs/>
          <w:color w:val="515151"/>
          <w:sz w:val="22"/>
          <w:lang w:eastAsia="pt-BR"/>
        </w:rPr>
        <w:t>) PIS e COFINS</w:t>
      </w:r>
      <w:r w:rsidR="009168A9" w:rsidRPr="001D1BE9">
        <w:rPr>
          <w:rFonts w:asciiTheme="minorHAnsi" w:eastAsia="Times New Roman" w:hAnsiTheme="minorHAnsi" w:cstheme="minorHAnsi"/>
          <w:b/>
          <w:bCs/>
          <w:color w:val="515151"/>
          <w:sz w:val="22"/>
          <w:lang w:eastAsia="pt-BR"/>
        </w:rPr>
        <w:t>:</w:t>
      </w:r>
    </w:p>
    <w:p w:rsidR="009168A9" w:rsidRPr="001D1BE9" w:rsidRDefault="009168A9"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Na carga tributária da Holding Patrimonial também irá incidir a tributação de PIS com a sua alíquota fixada em 0,65% sobre a receita bruta, conforme regra dos artigos 2º e 3º da Lei Nº 9.718/1998, e COFINS, com a alíquota fixada em 3% também sobre a receita bruta, conforme regra dos mesmos artigos citados.</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Na atividade de locação de imóveis, a Holding Patrimonial terá seus rendimentos tributados pela alíquota de 11,33%. Já em caso da tributação incidente sobre as receitas de aluguéis auferidas por pessoas físicas importante mencionar que se deve observar a Tabela Progressiva. A alíquota para pessoas física poderá chegar a 27,5%.</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Concluindo este tema é nítido o grande beneficio tributário, com a significativa redução da carga tributária que a transferência de bens imóveis para uma pessoa jurídica pode propiciar ao grupo familiar, haja vista que os rendimentos serão tributados pela alíquota de 11,33%, muito menor que os 27,5% incidentes sobre</w:t>
      </w:r>
      <w:r w:rsidRPr="001D1BE9">
        <w:rPr>
          <w:rFonts w:asciiTheme="minorHAnsi" w:eastAsia="Times New Roman" w:hAnsiTheme="minorHAnsi" w:cstheme="minorHAnsi"/>
          <w:color w:val="515151"/>
          <w:sz w:val="22"/>
          <w:lang w:eastAsia="pt-BR"/>
        </w:rPr>
        <w:t xml:space="preserve"> </w:t>
      </w:r>
      <w:r w:rsidR="0030736D" w:rsidRPr="001D1BE9">
        <w:rPr>
          <w:rFonts w:asciiTheme="minorHAnsi" w:eastAsia="Times New Roman" w:hAnsiTheme="minorHAnsi" w:cstheme="minorHAnsi"/>
          <w:color w:val="515151"/>
          <w:sz w:val="22"/>
          <w:lang w:eastAsia="pt-BR"/>
        </w:rPr>
        <w:t>os rendimentos da pessoa física.</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ATIVIDADE: LOCAÇÕES DE IMÓVEIS – TRIBUTAÇÃO:</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Holding Patrimonial: 11,33%</w:t>
      </w:r>
      <w:r w:rsidRPr="001D1BE9">
        <w:rPr>
          <w:rFonts w:asciiTheme="minorHAnsi" w:eastAsia="Times New Roman" w:hAnsiTheme="minorHAnsi" w:cstheme="minorHAnsi"/>
          <w:b/>
          <w:color w:val="515151"/>
          <w:sz w:val="22"/>
          <w:lang w:eastAsia="pt-BR"/>
        </w:rPr>
        <w:tab/>
        <w:t xml:space="preserve"> </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Pessoa Física: 27,5%</w:t>
      </w:r>
      <w:r w:rsidR="0030736D" w:rsidRPr="001D1BE9">
        <w:rPr>
          <w:rFonts w:asciiTheme="minorHAnsi" w:eastAsia="Times New Roman" w:hAnsiTheme="minorHAnsi" w:cstheme="minorHAnsi"/>
          <w:b/>
          <w:color w:val="515151"/>
          <w:sz w:val="22"/>
          <w:lang w:eastAsia="pt-BR"/>
        </w:rPr>
        <w:t> </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xml:space="preserve">- </w:t>
      </w:r>
      <w:r w:rsidR="0030736D" w:rsidRPr="001D1BE9">
        <w:rPr>
          <w:rFonts w:asciiTheme="minorHAnsi" w:eastAsia="Times New Roman" w:hAnsiTheme="minorHAnsi" w:cstheme="minorHAnsi"/>
          <w:b/>
          <w:color w:val="515151"/>
          <w:sz w:val="22"/>
          <w:lang w:eastAsia="pt-BR"/>
        </w:rPr>
        <w:t>GANHO DE CAPITAL NA ALIENAÇÃO DE IMÓVEIS</w:t>
      </w:r>
      <w:r w:rsidRPr="001D1BE9">
        <w:rPr>
          <w:rFonts w:asciiTheme="minorHAnsi" w:eastAsia="Times New Roman" w:hAnsiTheme="minorHAnsi" w:cstheme="minorHAnsi"/>
          <w:b/>
          <w:color w:val="515151"/>
          <w:sz w:val="22"/>
          <w:lang w:eastAsia="pt-BR"/>
        </w:rPr>
        <w:t>:</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A princípio, mister ressaltar que consoante regra dos </w:t>
      </w:r>
      <w:r w:rsidR="0030736D" w:rsidRPr="001D1BE9">
        <w:rPr>
          <w:rFonts w:asciiTheme="minorHAnsi" w:eastAsia="Times New Roman" w:hAnsiTheme="minorHAnsi" w:cstheme="minorHAnsi"/>
          <w:b/>
          <w:color w:val="515151"/>
          <w:sz w:val="22"/>
          <w:lang w:eastAsia="pt-BR"/>
        </w:rPr>
        <w:t>artigos 138 e 142 do Decreto nº 3000/1999,</w:t>
      </w:r>
      <w:r w:rsidR="0030736D" w:rsidRPr="001D1BE9">
        <w:rPr>
          <w:rFonts w:asciiTheme="minorHAnsi" w:eastAsia="Times New Roman" w:hAnsiTheme="minorHAnsi" w:cstheme="minorHAnsi"/>
          <w:color w:val="515151"/>
          <w:sz w:val="22"/>
          <w:lang w:eastAsia="pt-BR"/>
        </w:rPr>
        <w:t xml:space="preserve"> a carga tributária para pessoas físicas na ocorrência da venda de um imóvel será de 15% sobre o ganho de capital auferido, ou seja, o valor da venda subtraído do valor informado na Declaração de Imposto de Renda.</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Já a carga tributária para a Holding Patrimonial na venda de um imóvel terá o custo tributário final de 5,93%, mais o adicional que se chegará a uma dizima periódica de aproximadamente 6,73% sobre o valor total da alienação, e não sobre o ganho de capital propriamente dito como na tributação da pessoa física.</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Após a integralização dos imóveis no capital social da empresa, deve-se realizar uma classificação contábil, verificando se os imóveis serão locados ou serão objeto de futuras alienações.</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De acordo com as normas contábeis, se o imóvel for objeto de alienação é inerente ser segregado do Ativo Não Circulante/Investimentos ou do Ativo Não Circulante/Imobilizado e ser registrado contabilmente no Ativo Circulante como Estoque, onde permanecerão os imóveis que serão objetos de alienação. </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É importante mencionar que essa transferência do Ativo Não Circulante/Investimentos ou do Ativo Não Circulante/Imobilizado para o Ativo Circulante na conta de Estoques de imóveis deve-se respeitar o princípio contábil da continuidade.</w:t>
      </w:r>
      <w:r w:rsidRPr="001D1BE9">
        <w:rPr>
          <w:rFonts w:asciiTheme="minorHAnsi" w:eastAsia="Times New Roman" w:hAnsiTheme="minorHAnsi" w:cstheme="minorHAnsi"/>
          <w:color w:val="515151"/>
          <w:sz w:val="22"/>
          <w:lang w:eastAsia="pt-BR"/>
        </w:rPr>
        <w:t xml:space="preserve"> </w:t>
      </w:r>
      <w:r w:rsidR="0030736D" w:rsidRPr="001D1BE9">
        <w:rPr>
          <w:rFonts w:asciiTheme="minorHAnsi" w:eastAsia="Times New Roman" w:hAnsiTheme="minorHAnsi" w:cstheme="minorHAnsi"/>
          <w:color w:val="515151"/>
          <w:sz w:val="22"/>
          <w:lang w:eastAsia="pt-BR"/>
        </w:rPr>
        <w:t>Caso o imóvel integralizado já seja objeto de alienação em um futuro próximo já convém classificá-lo na conta do Ativo Circulante/Estoque.</w:t>
      </w:r>
    </w:p>
    <w:p w:rsidR="00A83A3B" w:rsidRPr="001D1BE9" w:rsidRDefault="00A83A3B"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lastRenderedPageBreak/>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Outrossim, pertinente ressaltar que após a transferência do imóvel para o Ativo Circulante como Estoque, este imóvel não poderá continuar auferindo rendimentos oriundos dos aluguéis, sob risco </w:t>
      </w:r>
      <w:proofErr w:type="gramStart"/>
      <w:r w:rsidR="0030736D" w:rsidRPr="001D1BE9">
        <w:rPr>
          <w:rFonts w:asciiTheme="minorHAnsi" w:eastAsia="Times New Roman" w:hAnsiTheme="minorHAnsi" w:cstheme="minorHAnsi"/>
          <w:color w:val="515151"/>
          <w:sz w:val="22"/>
          <w:lang w:eastAsia="pt-BR"/>
        </w:rPr>
        <w:t>das</w:t>
      </w:r>
      <w:proofErr w:type="gramEnd"/>
      <w:r w:rsidR="0030736D" w:rsidRPr="001D1BE9">
        <w:rPr>
          <w:rFonts w:asciiTheme="minorHAnsi" w:eastAsia="Times New Roman" w:hAnsiTheme="minorHAnsi" w:cstheme="minorHAnsi"/>
          <w:color w:val="515151"/>
          <w:sz w:val="22"/>
          <w:lang w:eastAsia="pt-BR"/>
        </w:rPr>
        <w:t xml:space="preserve"> autoridades tributárias caracterizarem essa operação de simples lançamento contábil como fraude para redução da incidência tributária. </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Importante frisar que para essa redução tributária é obrigatório constar no objeto social da empresa a atividade de Compra e Venda de imóveis. Segue abaixo uma tabela comparativa em relação a tributação sobre o ganho de capital das pessoas físicas e da Holding Patrimonial.</w:t>
      </w:r>
    </w:p>
    <w:tbl>
      <w:tblPr>
        <w:tblW w:w="8760" w:type="dxa"/>
        <w:tblCellMar>
          <w:left w:w="0" w:type="dxa"/>
          <w:right w:w="0" w:type="dxa"/>
        </w:tblCellMar>
        <w:tblLook w:val="04A0" w:firstRow="1" w:lastRow="0" w:firstColumn="1" w:lastColumn="0" w:noHBand="0" w:noVBand="1"/>
      </w:tblPr>
      <w:tblGrid>
        <w:gridCol w:w="4320"/>
        <w:gridCol w:w="4440"/>
      </w:tblGrid>
      <w:tr w:rsidR="0030736D" w:rsidRPr="001D1BE9" w:rsidTr="0030736D">
        <w:tc>
          <w:tcPr>
            <w:tcW w:w="8760" w:type="dxa"/>
            <w:gridSpan w:val="2"/>
            <w:tcBorders>
              <w:top w:val="nil"/>
              <w:left w:val="nil"/>
              <w:bottom w:val="nil"/>
              <w:right w:val="nil"/>
            </w:tcBorders>
            <w:vAlign w:val="bottom"/>
            <w:hideMark/>
          </w:tcPr>
          <w:p w:rsidR="0030736D" w:rsidRPr="001D1BE9" w:rsidRDefault="0030736D" w:rsidP="00F644C6">
            <w:pPr>
              <w:spacing w:after="0" w:line="240" w:lineRule="auto"/>
              <w:jc w:val="both"/>
              <w:rPr>
                <w:rFonts w:asciiTheme="minorHAnsi" w:eastAsia="Times New Roman" w:hAnsiTheme="minorHAnsi" w:cstheme="minorHAnsi"/>
                <w:sz w:val="22"/>
                <w:lang w:eastAsia="pt-BR"/>
              </w:rPr>
            </w:pPr>
            <w:r w:rsidRPr="001D1BE9">
              <w:rPr>
                <w:rFonts w:asciiTheme="minorHAnsi" w:eastAsia="Times New Roman" w:hAnsiTheme="minorHAnsi" w:cstheme="minorHAnsi"/>
                <w:b/>
                <w:bCs/>
                <w:sz w:val="22"/>
                <w:lang w:eastAsia="pt-BR"/>
              </w:rPr>
              <w:t> </w:t>
            </w:r>
          </w:p>
          <w:p w:rsidR="0030736D" w:rsidRPr="001D1BE9" w:rsidRDefault="0030736D" w:rsidP="00F644C6">
            <w:pPr>
              <w:spacing w:after="0" w:line="240" w:lineRule="auto"/>
              <w:jc w:val="both"/>
              <w:textAlignment w:val="baseline"/>
              <w:rPr>
                <w:rFonts w:asciiTheme="minorHAnsi" w:eastAsia="Times New Roman" w:hAnsiTheme="minorHAnsi" w:cstheme="minorHAnsi"/>
                <w:sz w:val="22"/>
                <w:lang w:eastAsia="pt-BR"/>
              </w:rPr>
            </w:pPr>
            <w:r w:rsidRPr="001D1BE9">
              <w:rPr>
                <w:rFonts w:asciiTheme="minorHAnsi" w:eastAsia="Times New Roman" w:hAnsiTheme="minorHAnsi" w:cstheme="minorHAnsi"/>
                <w:b/>
                <w:bCs/>
                <w:sz w:val="22"/>
                <w:lang w:eastAsia="pt-BR"/>
              </w:rPr>
              <w:t>Atividade: Alienação de Imóveis – Ganho de Capital</w:t>
            </w:r>
          </w:p>
        </w:tc>
      </w:tr>
      <w:tr w:rsidR="0030736D" w:rsidRPr="001D1BE9" w:rsidTr="0030736D">
        <w:tc>
          <w:tcPr>
            <w:tcW w:w="4320" w:type="dxa"/>
            <w:tcBorders>
              <w:top w:val="nil"/>
              <w:left w:val="nil"/>
              <w:bottom w:val="nil"/>
              <w:right w:val="nil"/>
            </w:tcBorders>
            <w:vAlign w:val="bottom"/>
            <w:hideMark/>
          </w:tcPr>
          <w:p w:rsidR="0030736D" w:rsidRPr="001D1BE9" w:rsidRDefault="0030736D" w:rsidP="00F644C6">
            <w:pPr>
              <w:spacing w:after="0" w:line="240" w:lineRule="auto"/>
              <w:jc w:val="both"/>
              <w:rPr>
                <w:rFonts w:asciiTheme="minorHAnsi" w:eastAsia="Times New Roman" w:hAnsiTheme="minorHAnsi" w:cstheme="minorHAnsi"/>
                <w:sz w:val="22"/>
                <w:lang w:eastAsia="pt-BR"/>
              </w:rPr>
            </w:pPr>
            <w:r w:rsidRPr="001D1BE9">
              <w:rPr>
                <w:rFonts w:asciiTheme="minorHAnsi" w:eastAsia="Times New Roman" w:hAnsiTheme="minorHAnsi" w:cstheme="minorHAnsi"/>
                <w:b/>
                <w:bCs/>
                <w:sz w:val="22"/>
                <w:lang w:eastAsia="pt-BR"/>
              </w:rPr>
              <w:t>Holding Patrimonial – Estoque de Imóveis</w:t>
            </w:r>
          </w:p>
        </w:tc>
        <w:tc>
          <w:tcPr>
            <w:tcW w:w="4440" w:type="dxa"/>
            <w:tcBorders>
              <w:top w:val="nil"/>
              <w:left w:val="nil"/>
              <w:bottom w:val="nil"/>
              <w:right w:val="nil"/>
            </w:tcBorders>
            <w:vAlign w:val="bottom"/>
            <w:hideMark/>
          </w:tcPr>
          <w:p w:rsidR="0030736D" w:rsidRPr="001D1BE9" w:rsidRDefault="0030736D" w:rsidP="00F644C6">
            <w:pPr>
              <w:spacing w:after="0" w:line="240" w:lineRule="auto"/>
              <w:jc w:val="both"/>
              <w:rPr>
                <w:rFonts w:asciiTheme="minorHAnsi" w:eastAsia="Times New Roman" w:hAnsiTheme="minorHAnsi" w:cstheme="minorHAnsi"/>
                <w:sz w:val="22"/>
                <w:lang w:eastAsia="pt-BR"/>
              </w:rPr>
            </w:pPr>
            <w:r w:rsidRPr="001D1BE9">
              <w:rPr>
                <w:rFonts w:asciiTheme="minorHAnsi" w:eastAsia="Times New Roman" w:hAnsiTheme="minorHAnsi" w:cstheme="minorHAnsi"/>
                <w:b/>
                <w:bCs/>
                <w:sz w:val="22"/>
                <w:lang w:eastAsia="pt-BR"/>
              </w:rPr>
              <w:t>Pessoa Física</w:t>
            </w:r>
          </w:p>
        </w:tc>
      </w:tr>
      <w:tr w:rsidR="0030736D" w:rsidRPr="001D1BE9" w:rsidTr="0030736D">
        <w:tc>
          <w:tcPr>
            <w:tcW w:w="4320" w:type="dxa"/>
            <w:tcBorders>
              <w:top w:val="nil"/>
              <w:left w:val="nil"/>
              <w:bottom w:val="nil"/>
              <w:right w:val="nil"/>
            </w:tcBorders>
            <w:vAlign w:val="bottom"/>
            <w:hideMark/>
          </w:tcPr>
          <w:p w:rsidR="0030736D" w:rsidRPr="001D1BE9" w:rsidRDefault="0030736D" w:rsidP="00F644C6">
            <w:pPr>
              <w:spacing w:after="0" w:line="240" w:lineRule="auto"/>
              <w:jc w:val="both"/>
              <w:rPr>
                <w:rFonts w:asciiTheme="minorHAnsi" w:eastAsia="Times New Roman" w:hAnsiTheme="minorHAnsi" w:cstheme="minorHAnsi"/>
                <w:b/>
                <w:sz w:val="22"/>
                <w:lang w:eastAsia="pt-BR"/>
              </w:rPr>
            </w:pPr>
            <w:r w:rsidRPr="001D1BE9">
              <w:rPr>
                <w:rFonts w:asciiTheme="minorHAnsi" w:eastAsia="Times New Roman" w:hAnsiTheme="minorHAnsi" w:cstheme="minorHAnsi"/>
                <w:b/>
                <w:sz w:val="22"/>
                <w:lang w:eastAsia="pt-BR"/>
              </w:rPr>
              <w:t>6,73%</w:t>
            </w:r>
          </w:p>
        </w:tc>
        <w:tc>
          <w:tcPr>
            <w:tcW w:w="4440" w:type="dxa"/>
            <w:tcBorders>
              <w:top w:val="nil"/>
              <w:left w:val="nil"/>
              <w:bottom w:val="nil"/>
              <w:right w:val="nil"/>
            </w:tcBorders>
            <w:vAlign w:val="bottom"/>
            <w:hideMark/>
          </w:tcPr>
          <w:p w:rsidR="0030736D" w:rsidRPr="001D1BE9" w:rsidRDefault="0030736D" w:rsidP="00F644C6">
            <w:pPr>
              <w:spacing w:after="0" w:line="240" w:lineRule="auto"/>
              <w:jc w:val="both"/>
              <w:rPr>
                <w:rFonts w:asciiTheme="minorHAnsi" w:eastAsia="Times New Roman" w:hAnsiTheme="minorHAnsi" w:cstheme="minorHAnsi"/>
                <w:b/>
                <w:sz w:val="22"/>
                <w:lang w:eastAsia="pt-BR"/>
              </w:rPr>
            </w:pPr>
            <w:r w:rsidRPr="001D1BE9">
              <w:rPr>
                <w:rFonts w:asciiTheme="minorHAnsi" w:eastAsia="Times New Roman" w:hAnsiTheme="minorHAnsi" w:cstheme="minorHAnsi"/>
                <w:b/>
                <w:sz w:val="22"/>
                <w:lang w:eastAsia="pt-BR"/>
              </w:rPr>
              <w:t>15%</w:t>
            </w:r>
          </w:p>
        </w:tc>
      </w:tr>
    </w:tbl>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IMÓVEIS ADQUIRIDOS ATÉ 1988 – PERCENTUAL DE REDUÇÃO</w:t>
      </w:r>
      <w:r w:rsidR="00051CF3" w:rsidRPr="001D1BE9">
        <w:rPr>
          <w:rFonts w:asciiTheme="minorHAnsi" w:eastAsia="Times New Roman" w:hAnsiTheme="minorHAnsi" w:cstheme="minorHAnsi"/>
          <w:b/>
          <w:color w:val="515151"/>
          <w:sz w:val="22"/>
          <w:lang w:eastAsia="pt-BR"/>
        </w:rPr>
        <w:t>:</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Na alienação de imóveis adquiridos até 31/12/1988 o ganho de capital sofre um percentual fixo de redução. Todavia essa redução é somente para imóveis alienados por pessoas físicas. Sendo assim, necessário a análise do patrimônio do grupo familiar e se presentes imóveis que se enquadram nessa hipótese, em caso de alienação deve-se realizar um estudo para verificar qual a melhor tributação.  </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Essa regra está prevista no </w:t>
      </w:r>
      <w:r w:rsidR="0030736D" w:rsidRPr="001D1BE9">
        <w:rPr>
          <w:rFonts w:asciiTheme="minorHAnsi" w:eastAsia="Times New Roman" w:hAnsiTheme="minorHAnsi" w:cstheme="minorHAnsi"/>
          <w:b/>
          <w:color w:val="515151"/>
          <w:sz w:val="22"/>
          <w:lang w:eastAsia="pt-BR"/>
        </w:rPr>
        <w:t xml:space="preserve">artigo 18 da Lei 7.713/1988 </w:t>
      </w:r>
      <w:r w:rsidR="0030736D" w:rsidRPr="001D1BE9">
        <w:rPr>
          <w:rFonts w:asciiTheme="minorHAnsi" w:eastAsia="Times New Roman" w:hAnsiTheme="minorHAnsi" w:cstheme="minorHAnsi"/>
          <w:color w:val="515151"/>
          <w:sz w:val="22"/>
          <w:lang w:eastAsia="pt-BR"/>
        </w:rPr>
        <w:t xml:space="preserve">e também no </w:t>
      </w:r>
      <w:r w:rsidR="0030736D" w:rsidRPr="001D1BE9">
        <w:rPr>
          <w:rFonts w:asciiTheme="minorHAnsi" w:eastAsia="Times New Roman" w:hAnsiTheme="minorHAnsi" w:cstheme="minorHAnsi"/>
          <w:b/>
          <w:color w:val="515151"/>
          <w:sz w:val="22"/>
          <w:lang w:eastAsia="pt-BR"/>
        </w:rPr>
        <w:t>artigo 26 da Instrução Normativa SRF nº 84.</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DISTRIBUIÇÃO DE LUCROS AOS SÓCIOS</w:t>
      </w:r>
      <w:r w:rsidR="00051CF3" w:rsidRPr="001D1BE9">
        <w:rPr>
          <w:rFonts w:asciiTheme="minorHAnsi" w:eastAsia="Times New Roman" w:hAnsiTheme="minorHAnsi" w:cstheme="minorHAnsi"/>
          <w:b/>
          <w:color w:val="515151"/>
          <w:sz w:val="22"/>
          <w:lang w:eastAsia="pt-BR"/>
        </w:rPr>
        <w:t>:</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A partir do mês de janeiro de 1996, consoante </w:t>
      </w:r>
      <w:r w:rsidR="0030736D" w:rsidRPr="001D1BE9">
        <w:rPr>
          <w:rFonts w:asciiTheme="minorHAnsi" w:eastAsia="Times New Roman" w:hAnsiTheme="minorHAnsi" w:cstheme="minorHAnsi"/>
          <w:b/>
          <w:color w:val="515151"/>
          <w:sz w:val="22"/>
          <w:lang w:eastAsia="pt-BR"/>
        </w:rPr>
        <w:t xml:space="preserve">artigo 10 da Lei nº 9.249/95 </w:t>
      </w:r>
      <w:r w:rsidR="0030736D" w:rsidRPr="001D1BE9">
        <w:rPr>
          <w:rFonts w:asciiTheme="minorHAnsi" w:eastAsia="Times New Roman" w:hAnsiTheme="minorHAnsi" w:cstheme="minorHAnsi"/>
          <w:color w:val="515151"/>
          <w:sz w:val="22"/>
          <w:lang w:eastAsia="pt-BR"/>
        </w:rPr>
        <w:t>os lucros ou dividendos calculados com base nos resultados apurados a partir do mês de janeiro de 1996, pagos ou creditados pelas pessoas jurídicas tributadas com base no lucro real, presumido ou arbitrado, não ficarão sujeitos à incidência do imposto de renda na fonte, nem integrarão a base de cálculo do imposto de renda do beneficiário, pessoa física ou jurídica. </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Desta regra, importante salientar o grande beneficio tributário, haja vista que os lucros da empresa distribuídos aos sócios serão isentos do pagamento de Imposto de Renda.</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Outro aspecto acerca da distribuição de lucros aos sócios é a regra prevista no </w:t>
      </w:r>
      <w:r w:rsidR="0030736D" w:rsidRPr="001D1BE9">
        <w:rPr>
          <w:rFonts w:asciiTheme="minorHAnsi" w:eastAsia="Times New Roman" w:hAnsiTheme="minorHAnsi" w:cstheme="minorHAnsi"/>
          <w:b/>
          <w:color w:val="515151"/>
          <w:sz w:val="22"/>
          <w:lang w:eastAsia="pt-BR"/>
        </w:rPr>
        <w:t>artigo 48, § 3º da Instrução Normativa SRF nº 93</w:t>
      </w:r>
      <w:r w:rsidR="0030736D" w:rsidRPr="001D1BE9">
        <w:rPr>
          <w:rFonts w:asciiTheme="minorHAnsi" w:eastAsia="Times New Roman" w:hAnsiTheme="minorHAnsi" w:cstheme="minorHAnsi"/>
          <w:color w:val="515151"/>
          <w:sz w:val="22"/>
          <w:lang w:eastAsia="pt-BR"/>
        </w:rPr>
        <w:t xml:space="preserve"> que prevê a possibilidade da Holding Patrimonial tributada pelo lucro presumido a distribuir os lucros ou dividendos de resultados mediante escrituração contábil, mesmo que o período-base não esteja encerrado. Com isso o grande benefício é a possibilidade da distribuição dos lucros mediante balanços que podem ser mensais, trimestrais ou semestrais.</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A ADMINISTRAÇÃO</w:t>
      </w:r>
      <w:r w:rsidR="00051CF3" w:rsidRPr="001D1BE9">
        <w:rPr>
          <w:rFonts w:asciiTheme="minorHAnsi" w:eastAsia="Times New Roman" w:hAnsiTheme="minorHAnsi" w:cstheme="minorHAnsi"/>
          <w:b/>
          <w:color w:val="515151"/>
          <w:sz w:val="22"/>
          <w:lang w:eastAsia="pt-BR"/>
        </w:rPr>
        <w:t>:</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Em uma empresa familiar, como no caso de uma Holding Patrimonial a administração deve ser da maneira mais harmoniosa possível entre os patriarcas e herdeiros, haja vista que um dos objetivos para que empresa fora constituída é evitar futuros litígios no processo de inventário.</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Para a administração da sociedade mais comum é o patriarca figurar como administrador de maneira isolada, inclusive podendo onerar ou alienar bens imóveis da sociedade, sem autorização dos sócios donatários.  Essa situação proporciona uma tranquilidade ao patriarca, visto que além de ser o usufrutuário será o administrador isolado, tendo total gestão sobre o patrimônio empresa.  </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lastRenderedPageBreak/>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Ademais, a sociedade poderá ser administrada pelo patriarca e pelos herdeiros de maneira isolada ou conjuntamente. Nesta situação o patriarca detém grande poder de decisão perante o patrimônio da sociedade, uma vez que para gravar ou alienar algum bem imóvel pertencente à sociedade será inerente sua anuência.</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Os administradores da Holding Patrimonial farão jus a uma retirada mensal a título de “pró-labore”. O “pró-labore” é uma remuneração específica para os administradores, e não para todos os sócios. Se o sócio não for administrador receberá tão somente dividendos, não receberá nenhum valor referente a “pró-labore”. A quantia retirada de “pró-labore” não deve ser elevada, visto que incidirá sobre esses rendimentos o recolhimento de INSS e Imposto de Renda.</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A DESONERAÇÃO TRIBUTÁRIA NO ASPECTO DA SUCESSÃO</w:t>
      </w:r>
      <w:r w:rsidR="00051CF3" w:rsidRPr="001D1BE9">
        <w:rPr>
          <w:rFonts w:asciiTheme="minorHAnsi" w:eastAsia="Times New Roman" w:hAnsiTheme="minorHAnsi" w:cstheme="minorHAnsi"/>
          <w:b/>
          <w:color w:val="515151"/>
          <w:sz w:val="22"/>
          <w:lang w:eastAsia="pt-BR"/>
        </w:rPr>
        <w:t>:</w:t>
      </w:r>
    </w:p>
    <w:p w:rsidR="00051CF3"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30736D"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b/>
          <w:bCs/>
          <w:color w:val="515151"/>
          <w:sz w:val="22"/>
          <w:lang w:eastAsia="pt-BR"/>
        </w:rPr>
        <w:t>a) ITCMD (Imposto de Transmissão Causa Mortis e Doação)</w:t>
      </w:r>
    </w:p>
    <w:p w:rsidR="001466F3" w:rsidRPr="001D1BE9" w:rsidRDefault="001466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O </w:t>
      </w:r>
      <w:r w:rsidR="0030736D" w:rsidRPr="001D1BE9">
        <w:rPr>
          <w:rFonts w:asciiTheme="minorHAnsi" w:eastAsia="Times New Roman" w:hAnsiTheme="minorHAnsi" w:cstheme="minorHAnsi"/>
          <w:b/>
          <w:color w:val="515151"/>
          <w:sz w:val="22"/>
          <w:lang w:eastAsia="pt-BR"/>
        </w:rPr>
        <w:t xml:space="preserve">ITCMD </w:t>
      </w:r>
      <w:r w:rsidR="0030736D" w:rsidRPr="001D1BE9">
        <w:rPr>
          <w:rFonts w:asciiTheme="minorHAnsi" w:eastAsia="Times New Roman" w:hAnsiTheme="minorHAnsi" w:cstheme="minorHAnsi"/>
          <w:color w:val="515151"/>
          <w:sz w:val="22"/>
          <w:lang w:eastAsia="pt-BR"/>
        </w:rPr>
        <w:t>é um imposto de competência Estadual, concernente a doação e </w:t>
      </w:r>
      <w:r w:rsidR="0030736D" w:rsidRPr="001D1BE9">
        <w:rPr>
          <w:rFonts w:asciiTheme="minorHAnsi" w:eastAsia="Times New Roman" w:hAnsiTheme="minorHAnsi" w:cstheme="minorHAnsi"/>
          <w:i/>
          <w:iCs/>
          <w:color w:val="515151"/>
          <w:sz w:val="22"/>
          <w:lang w:eastAsia="pt-BR"/>
        </w:rPr>
        <w:t>Causa Mortis.</w:t>
      </w:r>
      <w:r w:rsidR="0030736D" w:rsidRPr="001D1BE9">
        <w:rPr>
          <w:rFonts w:asciiTheme="minorHAnsi" w:eastAsia="Times New Roman" w:hAnsiTheme="minorHAnsi" w:cstheme="minorHAnsi"/>
          <w:color w:val="515151"/>
          <w:sz w:val="22"/>
          <w:lang w:eastAsia="pt-BR"/>
        </w:rPr>
        <w:t xml:space="preserve"> O </w:t>
      </w:r>
      <w:r w:rsidR="0030736D" w:rsidRPr="001D1BE9">
        <w:rPr>
          <w:rFonts w:asciiTheme="minorHAnsi" w:eastAsia="Times New Roman" w:hAnsiTheme="minorHAnsi" w:cstheme="minorHAnsi"/>
          <w:b/>
          <w:color w:val="515151"/>
          <w:sz w:val="22"/>
          <w:lang w:eastAsia="pt-BR"/>
        </w:rPr>
        <w:t>ITCMD</w:t>
      </w:r>
      <w:r w:rsidR="0030736D" w:rsidRPr="001D1BE9">
        <w:rPr>
          <w:rFonts w:asciiTheme="minorHAnsi" w:eastAsia="Times New Roman" w:hAnsiTheme="minorHAnsi" w:cstheme="minorHAnsi"/>
          <w:color w:val="515151"/>
          <w:sz w:val="22"/>
          <w:lang w:eastAsia="pt-BR"/>
        </w:rPr>
        <w:t xml:space="preserve"> tem como fato gerador a transmissão de quaisquer bens ou direitos mediante </w:t>
      </w:r>
      <w:r w:rsidR="0030736D" w:rsidRPr="001D1BE9">
        <w:rPr>
          <w:rFonts w:asciiTheme="minorHAnsi" w:eastAsia="Times New Roman" w:hAnsiTheme="minorHAnsi" w:cstheme="minorHAnsi"/>
          <w:i/>
          <w:iCs/>
          <w:color w:val="515151"/>
          <w:sz w:val="22"/>
          <w:lang w:eastAsia="pt-BR"/>
        </w:rPr>
        <w:t>Causa Mortis </w:t>
      </w:r>
      <w:r w:rsidR="0030736D" w:rsidRPr="001D1BE9">
        <w:rPr>
          <w:rFonts w:asciiTheme="minorHAnsi" w:eastAsia="Times New Roman" w:hAnsiTheme="minorHAnsi" w:cstheme="minorHAnsi"/>
          <w:color w:val="515151"/>
          <w:sz w:val="22"/>
          <w:lang w:eastAsia="pt-BR"/>
        </w:rPr>
        <w:t xml:space="preserve">ou doação. Logo, vale frisar que o </w:t>
      </w:r>
      <w:r w:rsidR="0030736D" w:rsidRPr="001D1BE9">
        <w:rPr>
          <w:rFonts w:asciiTheme="minorHAnsi" w:eastAsia="Times New Roman" w:hAnsiTheme="minorHAnsi" w:cstheme="minorHAnsi"/>
          <w:b/>
          <w:color w:val="515151"/>
          <w:sz w:val="22"/>
          <w:lang w:eastAsia="pt-BR"/>
        </w:rPr>
        <w:t>ITCMD</w:t>
      </w:r>
      <w:r w:rsidR="0030736D" w:rsidRPr="001D1BE9">
        <w:rPr>
          <w:rFonts w:asciiTheme="minorHAnsi" w:eastAsia="Times New Roman" w:hAnsiTheme="minorHAnsi" w:cstheme="minorHAnsi"/>
          <w:color w:val="515151"/>
          <w:sz w:val="22"/>
          <w:lang w:eastAsia="pt-BR"/>
        </w:rPr>
        <w:t xml:space="preserve"> irá incidir sobre a doação de quotas com reserva de usufruto na Holding Patrimonial. Todavia com a constituição de uma Holding Patrimonial, a sucessão é realizada ainda em vida, reduzindo e eliminando os</w:t>
      </w:r>
      <w:r w:rsidRPr="001D1BE9">
        <w:rPr>
          <w:rFonts w:asciiTheme="minorHAnsi" w:eastAsia="Times New Roman" w:hAnsiTheme="minorHAnsi" w:cstheme="minorHAnsi"/>
          <w:color w:val="515151"/>
          <w:sz w:val="22"/>
          <w:lang w:eastAsia="pt-BR"/>
        </w:rPr>
        <w:t xml:space="preserve"> </w:t>
      </w:r>
      <w:r w:rsidR="0030736D" w:rsidRPr="001D1BE9">
        <w:rPr>
          <w:rFonts w:asciiTheme="minorHAnsi" w:eastAsia="Times New Roman" w:hAnsiTheme="minorHAnsi" w:cstheme="minorHAnsi"/>
          <w:color w:val="515151"/>
          <w:sz w:val="22"/>
          <w:lang w:eastAsia="pt-BR"/>
        </w:rPr>
        <w:t>imposto</w:t>
      </w:r>
      <w:r w:rsidR="00C9095C" w:rsidRPr="001D1BE9">
        <w:rPr>
          <w:rFonts w:asciiTheme="minorHAnsi" w:eastAsia="Times New Roman" w:hAnsiTheme="minorHAnsi" w:cstheme="minorHAnsi"/>
          <w:color w:val="515151"/>
          <w:sz w:val="22"/>
          <w:lang w:eastAsia="pt-BR"/>
        </w:rPr>
        <w:t>s</w:t>
      </w:r>
      <w:r w:rsidR="0030736D" w:rsidRPr="001D1BE9">
        <w:rPr>
          <w:rFonts w:asciiTheme="minorHAnsi" w:eastAsia="Times New Roman" w:hAnsiTheme="minorHAnsi" w:cstheme="minorHAnsi"/>
          <w:color w:val="515151"/>
          <w:sz w:val="22"/>
          <w:lang w:eastAsia="pt-BR"/>
        </w:rPr>
        <w:t xml:space="preserve"> de um futuro processo de inventário.</w:t>
      </w:r>
    </w:p>
    <w:p w:rsidR="00051CF3"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w:t>
      </w:r>
    </w:p>
    <w:p w:rsidR="0030736D" w:rsidRPr="001D1BE9" w:rsidRDefault="00051CF3"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Na doação de quotas com reserva de usufruto a tributação do </w:t>
      </w:r>
      <w:r w:rsidR="0030736D" w:rsidRPr="001D1BE9">
        <w:rPr>
          <w:rFonts w:asciiTheme="minorHAnsi" w:eastAsia="Times New Roman" w:hAnsiTheme="minorHAnsi" w:cstheme="minorHAnsi"/>
          <w:b/>
          <w:color w:val="515151"/>
          <w:sz w:val="22"/>
          <w:lang w:eastAsia="pt-BR"/>
        </w:rPr>
        <w:t>ITCMD</w:t>
      </w:r>
      <w:r w:rsidR="0030736D" w:rsidRPr="001D1BE9">
        <w:rPr>
          <w:rFonts w:asciiTheme="minorHAnsi" w:eastAsia="Times New Roman" w:hAnsiTheme="minorHAnsi" w:cstheme="minorHAnsi"/>
          <w:color w:val="515151"/>
          <w:sz w:val="22"/>
          <w:lang w:eastAsia="pt-BR"/>
        </w:rPr>
        <w:t xml:space="preserve"> é segregada, sendo o recolhimento feito em dois momentos. No primeiro momento o recolhimento será feito na instituição do usufruto, ou seja, na doação das quotas da Holding Patrimonial; já no segundo momento, o recolhimento se dará na extinção do usufruto, na ocorrência da </w:t>
      </w:r>
      <w:r w:rsidR="0030736D" w:rsidRPr="001D1BE9">
        <w:rPr>
          <w:rFonts w:asciiTheme="minorHAnsi" w:eastAsia="Times New Roman" w:hAnsiTheme="minorHAnsi" w:cstheme="minorHAnsi"/>
          <w:i/>
          <w:iCs/>
          <w:color w:val="515151"/>
          <w:sz w:val="22"/>
          <w:lang w:eastAsia="pt-BR"/>
        </w:rPr>
        <w:t>Causa Mortis.</w:t>
      </w:r>
      <w:r w:rsidR="0030736D" w:rsidRPr="001D1BE9">
        <w:rPr>
          <w:rFonts w:asciiTheme="minorHAnsi" w:eastAsia="Times New Roman" w:hAnsiTheme="minorHAnsi" w:cstheme="minorHAnsi"/>
          <w:color w:val="515151"/>
          <w:sz w:val="22"/>
          <w:lang w:eastAsia="pt-BR"/>
        </w:rPr>
        <w:t xml:space="preserve"> Caso seja o desejo da família o </w:t>
      </w:r>
      <w:r w:rsidR="0030736D" w:rsidRPr="001D1BE9">
        <w:rPr>
          <w:rFonts w:asciiTheme="minorHAnsi" w:eastAsia="Times New Roman" w:hAnsiTheme="minorHAnsi" w:cstheme="minorHAnsi"/>
          <w:b/>
          <w:color w:val="515151"/>
          <w:sz w:val="22"/>
          <w:lang w:eastAsia="pt-BR"/>
        </w:rPr>
        <w:t xml:space="preserve">ITCMD </w:t>
      </w:r>
      <w:r w:rsidR="0030736D" w:rsidRPr="001D1BE9">
        <w:rPr>
          <w:rFonts w:asciiTheme="minorHAnsi" w:eastAsia="Times New Roman" w:hAnsiTheme="minorHAnsi" w:cstheme="minorHAnsi"/>
          <w:color w:val="515151"/>
          <w:sz w:val="22"/>
          <w:lang w:eastAsia="pt-BR"/>
        </w:rPr>
        <w:t>poderá ser recolhido de forma integral, se protegendo de eventual incerteza tributária, haja vista que alíquota aplicada será a do momento da doação.</w:t>
      </w:r>
    </w:p>
    <w:p w:rsidR="00C9095C" w:rsidRPr="001D1BE9" w:rsidRDefault="00C9095C"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C9095C"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Em comparação com o processo de inventário, caso o patrimônio esteja em nome da pessoa física, na ocorrência da </w:t>
      </w:r>
      <w:r w:rsidR="0030736D" w:rsidRPr="001D1BE9">
        <w:rPr>
          <w:rFonts w:asciiTheme="minorHAnsi" w:eastAsia="Times New Roman" w:hAnsiTheme="minorHAnsi" w:cstheme="minorHAnsi"/>
          <w:b/>
          <w:i/>
          <w:iCs/>
          <w:color w:val="515151"/>
          <w:sz w:val="22"/>
          <w:lang w:eastAsia="pt-BR"/>
        </w:rPr>
        <w:t>Causa Mortis</w:t>
      </w:r>
      <w:r w:rsidR="0030736D" w:rsidRPr="001D1BE9">
        <w:rPr>
          <w:rFonts w:asciiTheme="minorHAnsi" w:eastAsia="Times New Roman" w:hAnsiTheme="minorHAnsi" w:cstheme="minorHAnsi"/>
          <w:color w:val="515151"/>
          <w:sz w:val="22"/>
          <w:lang w:eastAsia="pt-BR"/>
        </w:rPr>
        <w:t xml:space="preserve"> o espólio será reavaliado pelo Estado e tributado sobre o valor de mercado, sendo o recolhimento do </w:t>
      </w:r>
      <w:r w:rsidR="0030736D" w:rsidRPr="001D1BE9">
        <w:rPr>
          <w:rFonts w:asciiTheme="minorHAnsi" w:eastAsia="Times New Roman" w:hAnsiTheme="minorHAnsi" w:cstheme="minorHAnsi"/>
          <w:b/>
          <w:color w:val="515151"/>
          <w:sz w:val="22"/>
          <w:lang w:eastAsia="pt-BR"/>
        </w:rPr>
        <w:t>ITCMD</w:t>
      </w:r>
      <w:r w:rsidR="0030736D" w:rsidRPr="001D1BE9">
        <w:rPr>
          <w:rFonts w:asciiTheme="minorHAnsi" w:eastAsia="Times New Roman" w:hAnsiTheme="minorHAnsi" w:cstheme="minorHAnsi"/>
          <w:color w:val="515151"/>
          <w:sz w:val="22"/>
          <w:lang w:eastAsia="pt-BR"/>
        </w:rPr>
        <w:t xml:space="preserve"> pago integralmente nesse momento, gerando desta maneira uma alta carga tributária, tendo a incidência da Taxa Judiciária e dos honorários advocatícios.</w:t>
      </w:r>
    </w:p>
    <w:p w:rsidR="00C9095C" w:rsidRPr="001D1BE9" w:rsidRDefault="00C9095C" w:rsidP="00F644C6">
      <w:pPr>
        <w:shd w:val="clear" w:color="auto" w:fill="FFFFFF"/>
        <w:spacing w:after="0" w:line="240" w:lineRule="auto"/>
        <w:jc w:val="both"/>
        <w:textAlignment w:val="baseline"/>
        <w:rPr>
          <w:rStyle w:val="nfase"/>
          <w:rFonts w:asciiTheme="minorHAnsi" w:hAnsiTheme="minorHAnsi" w:cstheme="minorHAnsi"/>
          <w:color w:val="333333"/>
          <w:sz w:val="22"/>
          <w:shd w:val="clear" w:color="auto" w:fill="FFFFFF"/>
        </w:rPr>
      </w:pPr>
    </w:p>
    <w:p w:rsidR="00C9095C" w:rsidRPr="001D1BE9" w:rsidRDefault="00C9095C"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No Estado de </w:t>
      </w:r>
      <w:r w:rsidRPr="001D1BE9">
        <w:rPr>
          <w:rFonts w:asciiTheme="minorHAnsi" w:eastAsia="Times New Roman" w:hAnsiTheme="minorHAnsi" w:cstheme="minorHAnsi"/>
          <w:color w:val="515151"/>
          <w:sz w:val="22"/>
          <w:lang w:eastAsia="pt-BR"/>
        </w:rPr>
        <w:t>Mato Grosso do Sul</w:t>
      </w:r>
      <w:r w:rsidR="0030736D" w:rsidRPr="001D1BE9">
        <w:rPr>
          <w:rFonts w:asciiTheme="minorHAnsi" w:eastAsia="Times New Roman" w:hAnsiTheme="minorHAnsi" w:cstheme="minorHAnsi"/>
          <w:color w:val="515151"/>
          <w:sz w:val="22"/>
          <w:lang w:eastAsia="pt-BR"/>
        </w:rPr>
        <w:t xml:space="preserve">, a tributação do </w:t>
      </w:r>
      <w:r w:rsidR="0030736D" w:rsidRPr="001D1BE9">
        <w:rPr>
          <w:rFonts w:asciiTheme="minorHAnsi" w:eastAsia="Times New Roman" w:hAnsiTheme="minorHAnsi" w:cstheme="minorHAnsi"/>
          <w:b/>
          <w:color w:val="515151"/>
          <w:sz w:val="22"/>
          <w:lang w:eastAsia="pt-BR"/>
        </w:rPr>
        <w:t>ITCMD</w:t>
      </w:r>
      <w:r w:rsidR="0030736D" w:rsidRPr="001D1BE9">
        <w:rPr>
          <w:rFonts w:asciiTheme="minorHAnsi" w:eastAsia="Times New Roman" w:hAnsiTheme="minorHAnsi" w:cstheme="minorHAnsi"/>
          <w:color w:val="515151"/>
          <w:sz w:val="22"/>
          <w:lang w:eastAsia="pt-BR"/>
        </w:rPr>
        <w:t xml:space="preserve"> é regida pela </w:t>
      </w:r>
      <w:r w:rsidR="0030736D" w:rsidRPr="001D1BE9">
        <w:rPr>
          <w:rFonts w:asciiTheme="minorHAnsi" w:eastAsia="Times New Roman" w:hAnsiTheme="minorHAnsi" w:cstheme="minorHAnsi"/>
          <w:b/>
          <w:color w:val="515151"/>
          <w:sz w:val="22"/>
          <w:lang w:eastAsia="pt-BR"/>
        </w:rPr>
        <w:t xml:space="preserve">Lei nº </w:t>
      </w:r>
      <w:r w:rsidRPr="001D1BE9">
        <w:rPr>
          <w:rFonts w:asciiTheme="minorHAnsi" w:eastAsia="Times New Roman" w:hAnsiTheme="minorHAnsi" w:cstheme="minorHAnsi"/>
          <w:b/>
          <w:color w:val="515151"/>
          <w:sz w:val="22"/>
          <w:lang w:eastAsia="pt-BR"/>
        </w:rPr>
        <w:t>1.810/1997</w:t>
      </w:r>
      <w:r w:rsidR="0030736D" w:rsidRPr="001D1BE9">
        <w:rPr>
          <w:rFonts w:asciiTheme="minorHAnsi" w:eastAsia="Times New Roman" w:hAnsiTheme="minorHAnsi" w:cstheme="minorHAnsi"/>
          <w:b/>
          <w:color w:val="515151"/>
          <w:sz w:val="22"/>
          <w:lang w:eastAsia="pt-BR"/>
        </w:rPr>
        <w:t>.</w:t>
      </w:r>
      <w:r w:rsidR="0030736D" w:rsidRPr="001D1BE9">
        <w:rPr>
          <w:rFonts w:asciiTheme="minorHAnsi" w:eastAsia="Times New Roman" w:hAnsiTheme="minorHAnsi" w:cstheme="minorHAnsi"/>
          <w:color w:val="515151"/>
          <w:sz w:val="22"/>
          <w:lang w:eastAsia="pt-BR"/>
        </w:rPr>
        <w:t xml:space="preserve"> A alíquota para o Estado de </w:t>
      </w:r>
      <w:r w:rsidRPr="001D1BE9">
        <w:rPr>
          <w:rFonts w:asciiTheme="minorHAnsi" w:eastAsia="Times New Roman" w:hAnsiTheme="minorHAnsi" w:cstheme="minorHAnsi"/>
          <w:color w:val="515151"/>
          <w:sz w:val="22"/>
          <w:lang w:eastAsia="pt-BR"/>
        </w:rPr>
        <w:t>Mato Grosso do Sul</w:t>
      </w:r>
      <w:r w:rsidR="0030736D" w:rsidRPr="001D1BE9">
        <w:rPr>
          <w:rFonts w:asciiTheme="minorHAnsi" w:eastAsia="Times New Roman" w:hAnsiTheme="minorHAnsi" w:cstheme="minorHAnsi"/>
          <w:color w:val="515151"/>
          <w:sz w:val="22"/>
          <w:lang w:eastAsia="pt-BR"/>
        </w:rPr>
        <w:t>, conforme artigo 1</w:t>
      </w:r>
      <w:r w:rsidRPr="001D1BE9">
        <w:rPr>
          <w:rFonts w:asciiTheme="minorHAnsi" w:eastAsia="Times New Roman" w:hAnsiTheme="minorHAnsi" w:cstheme="minorHAnsi"/>
          <w:color w:val="515151"/>
          <w:sz w:val="22"/>
          <w:lang w:eastAsia="pt-BR"/>
        </w:rPr>
        <w:t>29</w:t>
      </w:r>
      <w:r w:rsidR="0030736D" w:rsidRPr="001D1BE9">
        <w:rPr>
          <w:rFonts w:asciiTheme="minorHAnsi" w:eastAsia="Times New Roman" w:hAnsiTheme="minorHAnsi" w:cstheme="minorHAnsi"/>
          <w:color w:val="515151"/>
          <w:sz w:val="22"/>
          <w:lang w:eastAsia="pt-BR"/>
        </w:rPr>
        <w:t xml:space="preserve"> da referida lei é fixada em </w:t>
      </w:r>
      <w:r w:rsidRPr="001D1BE9">
        <w:rPr>
          <w:rFonts w:asciiTheme="minorHAnsi" w:eastAsia="Times New Roman" w:hAnsiTheme="minorHAnsi" w:cstheme="minorHAnsi"/>
          <w:color w:val="515151"/>
          <w:sz w:val="22"/>
          <w:lang w:eastAsia="pt-BR"/>
        </w:rPr>
        <w:t>6</w:t>
      </w:r>
      <w:r w:rsidR="0030736D" w:rsidRPr="001D1BE9">
        <w:rPr>
          <w:rFonts w:asciiTheme="minorHAnsi" w:eastAsia="Times New Roman" w:hAnsiTheme="minorHAnsi" w:cstheme="minorHAnsi"/>
          <w:color w:val="515151"/>
          <w:sz w:val="22"/>
          <w:lang w:eastAsia="pt-BR"/>
        </w:rPr>
        <w:t>%.</w:t>
      </w:r>
    </w:p>
    <w:p w:rsidR="00C9095C" w:rsidRPr="001D1BE9" w:rsidRDefault="00C9095C"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b/>
          <w:bCs/>
          <w:color w:val="515151"/>
          <w:sz w:val="22"/>
          <w:lang w:eastAsia="pt-BR"/>
        </w:rPr>
      </w:pPr>
      <w:r w:rsidRPr="001D1BE9">
        <w:rPr>
          <w:rFonts w:asciiTheme="minorHAnsi" w:eastAsia="Times New Roman" w:hAnsiTheme="minorHAnsi" w:cstheme="minorHAnsi"/>
          <w:b/>
          <w:bCs/>
          <w:color w:val="515151"/>
          <w:sz w:val="22"/>
          <w:lang w:eastAsia="pt-BR"/>
        </w:rPr>
        <w:t>b) Taxa Judiciária</w:t>
      </w:r>
      <w:r w:rsidR="00FC072D" w:rsidRPr="001D1BE9">
        <w:rPr>
          <w:rFonts w:asciiTheme="minorHAnsi" w:eastAsia="Times New Roman" w:hAnsiTheme="minorHAnsi" w:cstheme="minorHAnsi"/>
          <w:b/>
          <w:bCs/>
          <w:color w:val="515151"/>
          <w:sz w:val="22"/>
          <w:lang w:eastAsia="pt-BR"/>
        </w:rPr>
        <w:t>:</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t>C</w:t>
      </w:r>
      <w:r w:rsidR="0030736D" w:rsidRPr="001D1BE9">
        <w:rPr>
          <w:rFonts w:asciiTheme="minorHAnsi" w:eastAsia="Times New Roman" w:hAnsiTheme="minorHAnsi" w:cstheme="minorHAnsi"/>
          <w:color w:val="515151"/>
          <w:sz w:val="22"/>
          <w:lang w:eastAsia="pt-BR"/>
        </w:rPr>
        <w:t>om a sucessão realizada por meio de um planejamento sucessório, irá ocorrer a eliminação da Taxa Judiciária, pois no momento que ocorrer a morte do patriarca não será iniciada uma demanda judicial sobre os imóveis integralizados na holding. A Taxa Judiciária via de regra estipulada em 1%.</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Estritamente ligado a este tema, está também a eliminação dos honorários advocatícios, que geralmente variam entre 10% a 20% sobre o montante total do espólio. Já os honorários para a constituição de uma Holding Patrimonial não são cobrados mediante o tamanho do patrimônio do grupo familiar, em regra são cobrados de acordo com a complexidade do trabalho.</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30736D"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b/>
          <w:color w:val="515151"/>
          <w:sz w:val="22"/>
          <w:lang w:eastAsia="pt-BR"/>
        </w:rPr>
        <w:t>- A DOAÇÃO DE QUOTAS COM RESERVA DE USUFRUTO</w:t>
      </w:r>
      <w:r w:rsidR="00FC072D" w:rsidRPr="001D1BE9">
        <w:rPr>
          <w:rFonts w:asciiTheme="minorHAnsi" w:eastAsia="Times New Roman" w:hAnsiTheme="minorHAnsi" w:cstheme="minorHAnsi"/>
          <w:b/>
          <w:color w:val="515151"/>
          <w:sz w:val="22"/>
          <w:lang w:eastAsia="pt-BR"/>
        </w:rPr>
        <w:t>:</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A doação de quotas com reserva de usufruto é o mecanismo que determinará a divisão do patrimônio entre os herdeiros e por consequência conforme cláusulas de restrições, não permitirá a dilapidação do patrimônio a curto e médio prazo.</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lastRenderedPageBreak/>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O patriarca após a doação das quotas irá se instituir na sociedade como usufrutuário e administrador, permanecendo até a sua morte no total controle do patrimônio pertencente a Holding Patrimonial. Todo ato que envolva a sociedade constituída necessitará obrigatoriamente de sua anuência, sendo inválido qualquer ato praticado pelos herdeiros sem sua autorização. Antes da ocorrência de sua morte é como se nenhuma doação estivesse </w:t>
      </w:r>
      <w:proofErr w:type="gramStart"/>
      <w:r w:rsidR="0030736D" w:rsidRPr="001D1BE9">
        <w:rPr>
          <w:rFonts w:asciiTheme="minorHAnsi" w:eastAsia="Times New Roman" w:hAnsiTheme="minorHAnsi" w:cstheme="minorHAnsi"/>
          <w:color w:val="515151"/>
          <w:sz w:val="22"/>
          <w:lang w:eastAsia="pt-BR"/>
        </w:rPr>
        <w:t>ocorrido</w:t>
      </w:r>
      <w:proofErr w:type="gramEnd"/>
      <w:r w:rsidR="0030736D" w:rsidRPr="001D1BE9">
        <w:rPr>
          <w:rFonts w:asciiTheme="minorHAnsi" w:eastAsia="Times New Roman" w:hAnsiTheme="minorHAnsi" w:cstheme="minorHAnsi"/>
          <w:color w:val="515151"/>
          <w:sz w:val="22"/>
          <w:lang w:eastAsia="pt-BR"/>
        </w:rPr>
        <w:t xml:space="preserve">, visto que o patriarca efetuou, tão somente, a doção da nua-propriedade das quotas. As quotas doadas aos herdeiros serão gravadas com cláusulas de inalienabilidade, incomunicabilidade, </w:t>
      </w:r>
      <w:proofErr w:type="gramStart"/>
      <w:r w:rsidR="0030736D" w:rsidRPr="001D1BE9">
        <w:rPr>
          <w:rFonts w:asciiTheme="minorHAnsi" w:eastAsia="Times New Roman" w:hAnsiTheme="minorHAnsi" w:cstheme="minorHAnsi"/>
          <w:color w:val="515151"/>
          <w:sz w:val="22"/>
          <w:lang w:eastAsia="pt-BR"/>
        </w:rPr>
        <w:t>impenhorabilidade, e reversão</w:t>
      </w:r>
      <w:proofErr w:type="gramEnd"/>
      <w:r w:rsidR="0030736D" w:rsidRPr="001D1BE9">
        <w:rPr>
          <w:rFonts w:asciiTheme="minorHAnsi" w:eastAsia="Times New Roman" w:hAnsiTheme="minorHAnsi" w:cstheme="minorHAnsi"/>
          <w:color w:val="515151"/>
          <w:sz w:val="22"/>
          <w:lang w:eastAsia="pt-BR"/>
        </w:rPr>
        <w:t>.</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A cláusula de inalienabilidade tem a função primordial instituir sobre as quotas doadas uma vedação aos herdeiros, uma vez que ficarão impedidos de alienar as quotas recebidas. Esse gravame sobre as quotas não permite a dilapidação do patrimônio da sociedade após a morte do patriarca, porquanto a cláusula de inalienabilidade das quotas pode ser instituída de maneira vitalícia.</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Constando a cláusula de inalienabilidade no contrato social, automaticamente o patriarca estará gravando as quotas também com incomunicabilidade e impenhorabilidade. Essa regra está presente no</w:t>
      </w:r>
      <w:r w:rsidR="0030736D" w:rsidRPr="001D1BE9">
        <w:rPr>
          <w:rFonts w:asciiTheme="minorHAnsi" w:eastAsia="Times New Roman" w:hAnsiTheme="minorHAnsi" w:cstheme="minorHAnsi"/>
          <w:b/>
          <w:color w:val="515151"/>
          <w:sz w:val="22"/>
          <w:lang w:eastAsia="pt-BR"/>
        </w:rPr>
        <w:t xml:space="preserve"> artigo 1.911 do Código Civil.</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No tocante ao gravame da incomunicabilidade, o mesmo é caracterizado por proteger as quotas doadas de futuros casamentos, uma vez que gravadas com incomunicabilidade as quotas recebidas pelos herdeiros serão exclusivamente de sua propriedade, não se comunicando em um futuro divórcio, mesmo que o herdeiro seja casado sob o regime da comunhão universal de bens. No planejamento sucessório através da constituição de uma Holding Patrimonial, o patrimônio da empresa será incomunicável com o cônjuge do sócio donatário independentemente do regime de casamento pactuado.</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Já a cláusula de impenhorabilidade tem como maior escopo proteger as quotas da sociedade de futuros processos em que os herdeiros, ou a própria sociedade venha a ser devedores, protegendo desta maneira a penhorabilidade das quotas.</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b/>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Todavia é importante frisar que a cláusula de impenhorabilidade protegerá tão somente as quotas de possíveis penhoras. Quanto os lucros e dividendos recebidos pelos herdeiros não existe nenhuma proteção e poderão o ser objetos de penhora sem nenhuma objeção. Essa regra encontra base no</w:t>
      </w:r>
      <w:r w:rsidR="0030736D" w:rsidRPr="001D1BE9">
        <w:rPr>
          <w:rFonts w:asciiTheme="minorHAnsi" w:eastAsia="Times New Roman" w:hAnsiTheme="minorHAnsi" w:cstheme="minorHAnsi"/>
          <w:b/>
          <w:color w:val="515151"/>
          <w:sz w:val="22"/>
          <w:lang w:eastAsia="pt-BR"/>
        </w:rPr>
        <w:t xml:space="preserve"> artigo 1.026 do Código Civil.</w:t>
      </w:r>
    </w:p>
    <w:p w:rsidR="00FC072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30736D" w:rsidRPr="001D1BE9" w:rsidRDefault="00FC072D"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r w:rsidRPr="001D1BE9">
        <w:rPr>
          <w:rFonts w:asciiTheme="minorHAnsi" w:eastAsia="Times New Roman" w:hAnsiTheme="minorHAnsi" w:cstheme="minorHAnsi"/>
          <w:color w:val="515151"/>
          <w:sz w:val="22"/>
          <w:lang w:eastAsia="pt-BR"/>
        </w:rPr>
        <w:t xml:space="preserve"> </w:t>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Pr="001D1BE9">
        <w:rPr>
          <w:rFonts w:asciiTheme="minorHAnsi" w:eastAsia="Times New Roman" w:hAnsiTheme="minorHAnsi" w:cstheme="minorHAnsi"/>
          <w:color w:val="515151"/>
          <w:sz w:val="22"/>
          <w:lang w:eastAsia="pt-BR"/>
        </w:rPr>
        <w:tab/>
      </w:r>
      <w:r w:rsidR="0030736D" w:rsidRPr="001D1BE9">
        <w:rPr>
          <w:rFonts w:asciiTheme="minorHAnsi" w:eastAsia="Times New Roman" w:hAnsiTheme="minorHAnsi" w:cstheme="minorHAnsi"/>
          <w:color w:val="515151"/>
          <w:sz w:val="22"/>
          <w:lang w:eastAsia="pt-BR"/>
        </w:rPr>
        <w:t xml:space="preserve">Por fim a cláusula de reversão deve estar expressamente prevista no contrato social, pois em caso de ocorrer a morte de um dos herdeiros antes do patriarca, as </w:t>
      </w:r>
      <w:proofErr w:type="gramStart"/>
      <w:r w:rsidR="0030736D" w:rsidRPr="001D1BE9">
        <w:rPr>
          <w:rFonts w:asciiTheme="minorHAnsi" w:eastAsia="Times New Roman" w:hAnsiTheme="minorHAnsi" w:cstheme="minorHAnsi"/>
          <w:color w:val="515151"/>
          <w:sz w:val="22"/>
          <w:lang w:eastAsia="pt-BR"/>
        </w:rPr>
        <w:t>quotas pertencente</w:t>
      </w:r>
      <w:proofErr w:type="gramEnd"/>
      <w:r w:rsidR="0030736D" w:rsidRPr="001D1BE9">
        <w:rPr>
          <w:rFonts w:asciiTheme="minorHAnsi" w:eastAsia="Times New Roman" w:hAnsiTheme="minorHAnsi" w:cstheme="minorHAnsi"/>
          <w:color w:val="515151"/>
          <w:sz w:val="22"/>
          <w:lang w:eastAsia="pt-BR"/>
        </w:rPr>
        <w:t xml:space="preserve"> ao herdeiro falecido retornaram a ser de propriedade do doador sem nenhum ônus. O Código Civil em seu artigo 547 enaltece essa regra.</w:t>
      </w:r>
    </w:p>
    <w:p w:rsidR="009A7612" w:rsidRPr="001D1BE9" w:rsidRDefault="009A7612" w:rsidP="00F644C6">
      <w:pPr>
        <w:shd w:val="clear" w:color="auto" w:fill="FFFFFF"/>
        <w:spacing w:after="0" w:line="240" w:lineRule="auto"/>
        <w:jc w:val="both"/>
        <w:textAlignment w:val="baseline"/>
        <w:rPr>
          <w:rFonts w:asciiTheme="minorHAnsi" w:eastAsia="Times New Roman" w:hAnsiTheme="minorHAnsi" w:cstheme="minorHAnsi"/>
          <w:color w:val="515151"/>
          <w:sz w:val="22"/>
          <w:lang w:eastAsia="pt-BR"/>
        </w:rPr>
      </w:pPr>
    </w:p>
    <w:p w:rsidR="00EA1BFA" w:rsidRPr="001D1BE9" w:rsidRDefault="00EA1BFA" w:rsidP="00F644C6">
      <w:pPr>
        <w:spacing w:after="0" w:line="240" w:lineRule="auto"/>
        <w:jc w:val="both"/>
        <w:rPr>
          <w:rFonts w:asciiTheme="minorHAnsi" w:hAnsiTheme="minorHAnsi" w:cstheme="minorHAnsi"/>
          <w:sz w:val="22"/>
        </w:rPr>
      </w:pPr>
    </w:p>
    <w:sectPr w:rsidR="00EA1BFA" w:rsidRPr="001D1BE9" w:rsidSect="004E2DC4">
      <w:pgSz w:w="11906" w:h="16838"/>
      <w:pgMar w:top="1418" w:right="567"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8B"/>
    <w:multiLevelType w:val="multilevel"/>
    <w:tmpl w:val="E6AE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3E4A"/>
    <w:multiLevelType w:val="multilevel"/>
    <w:tmpl w:val="A460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12EC3"/>
    <w:multiLevelType w:val="multilevel"/>
    <w:tmpl w:val="41D05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F469E"/>
    <w:multiLevelType w:val="multilevel"/>
    <w:tmpl w:val="E1FE4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02159"/>
    <w:multiLevelType w:val="multilevel"/>
    <w:tmpl w:val="1058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32134"/>
    <w:multiLevelType w:val="multilevel"/>
    <w:tmpl w:val="0FACB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B41FE"/>
    <w:multiLevelType w:val="multilevel"/>
    <w:tmpl w:val="DB306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669C9"/>
    <w:multiLevelType w:val="multilevel"/>
    <w:tmpl w:val="270C7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03030"/>
    <w:multiLevelType w:val="multilevel"/>
    <w:tmpl w:val="C46E4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27687"/>
    <w:multiLevelType w:val="multilevel"/>
    <w:tmpl w:val="DC04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16C77"/>
    <w:multiLevelType w:val="multilevel"/>
    <w:tmpl w:val="C5561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F6459"/>
    <w:multiLevelType w:val="multilevel"/>
    <w:tmpl w:val="08201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B01AA"/>
    <w:multiLevelType w:val="multilevel"/>
    <w:tmpl w:val="14A2F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975FF2"/>
    <w:multiLevelType w:val="multilevel"/>
    <w:tmpl w:val="464E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669A1"/>
    <w:multiLevelType w:val="multilevel"/>
    <w:tmpl w:val="3558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5588B"/>
    <w:multiLevelType w:val="hybridMultilevel"/>
    <w:tmpl w:val="0E566D88"/>
    <w:lvl w:ilvl="0" w:tplc="80B8B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47C926FC"/>
    <w:multiLevelType w:val="multilevel"/>
    <w:tmpl w:val="829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D026A"/>
    <w:multiLevelType w:val="multilevel"/>
    <w:tmpl w:val="7F28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782218"/>
    <w:multiLevelType w:val="multilevel"/>
    <w:tmpl w:val="3FBC6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2C0625"/>
    <w:multiLevelType w:val="multilevel"/>
    <w:tmpl w:val="E410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77174"/>
    <w:multiLevelType w:val="multilevel"/>
    <w:tmpl w:val="9CB4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F959BC"/>
    <w:multiLevelType w:val="multilevel"/>
    <w:tmpl w:val="A93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7150D"/>
    <w:multiLevelType w:val="multilevel"/>
    <w:tmpl w:val="83C6C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8A2925"/>
    <w:multiLevelType w:val="multilevel"/>
    <w:tmpl w:val="74D8E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B0282"/>
    <w:multiLevelType w:val="multilevel"/>
    <w:tmpl w:val="C792D5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73B91"/>
    <w:multiLevelType w:val="multilevel"/>
    <w:tmpl w:val="D4E4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5A38E8"/>
    <w:multiLevelType w:val="multilevel"/>
    <w:tmpl w:val="B27E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F6C94"/>
    <w:multiLevelType w:val="multilevel"/>
    <w:tmpl w:val="5198C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CE18CF"/>
    <w:multiLevelType w:val="multilevel"/>
    <w:tmpl w:val="08564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6A69AC"/>
    <w:multiLevelType w:val="multilevel"/>
    <w:tmpl w:val="64BE2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5B6160"/>
    <w:multiLevelType w:val="multilevel"/>
    <w:tmpl w:val="D3701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E07199"/>
    <w:multiLevelType w:val="multilevel"/>
    <w:tmpl w:val="7B76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0E1878"/>
    <w:multiLevelType w:val="multilevel"/>
    <w:tmpl w:val="E7CC34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8"/>
  </w:num>
  <w:num w:numId="3">
    <w:abstractNumId w:val="18"/>
  </w:num>
  <w:num w:numId="4">
    <w:abstractNumId w:val="7"/>
  </w:num>
  <w:num w:numId="5">
    <w:abstractNumId w:val="24"/>
  </w:num>
  <w:num w:numId="6">
    <w:abstractNumId w:val="17"/>
  </w:num>
  <w:num w:numId="7">
    <w:abstractNumId w:val="8"/>
  </w:num>
  <w:num w:numId="8">
    <w:abstractNumId w:val="29"/>
  </w:num>
  <w:num w:numId="9">
    <w:abstractNumId w:val="10"/>
  </w:num>
  <w:num w:numId="10">
    <w:abstractNumId w:val="12"/>
  </w:num>
  <w:num w:numId="11">
    <w:abstractNumId w:val="6"/>
  </w:num>
  <w:num w:numId="12">
    <w:abstractNumId w:val="5"/>
  </w:num>
  <w:num w:numId="13">
    <w:abstractNumId w:val="20"/>
  </w:num>
  <w:num w:numId="14">
    <w:abstractNumId w:val="30"/>
  </w:num>
  <w:num w:numId="15">
    <w:abstractNumId w:val="27"/>
  </w:num>
  <w:num w:numId="16">
    <w:abstractNumId w:val="3"/>
  </w:num>
  <w:num w:numId="17">
    <w:abstractNumId w:val="0"/>
  </w:num>
  <w:num w:numId="18">
    <w:abstractNumId w:val="31"/>
  </w:num>
  <w:num w:numId="19">
    <w:abstractNumId w:val="2"/>
  </w:num>
  <w:num w:numId="20">
    <w:abstractNumId w:val="11"/>
  </w:num>
  <w:num w:numId="21">
    <w:abstractNumId w:val="22"/>
  </w:num>
  <w:num w:numId="22">
    <w:abstractNumId w:val="32"/>
  </w:num>
  <w:num w:numId="23">
    <w:abstractNumId w:val="16"/>
  </w:num>
  <w:num w:numId="24">
    <w:abstractNumId w:val="9"/>
  </w:num>
  <w:num w:numId="25">
    <w:abstractNumId w:val="4"/>
  </w:num>
  <w:num w:numId="26">
    <w:abstractNumId w:val="21"/>
  </w:num>
  <w:num w:numId="27">
    <w:abstractNumId w:val="23"/>
  </w:num>
  <w:num w:numId="28">
    <w:abstractNumId w:val="1"/>
  </w:num>
  <w:num w:numId="29">
    <w:abstractNumId w:val="26"/>
  </w:num>
  <w:num w:numId="30">
    <w:abstractNumId w:val="13"/>
  </w:num>
  <w:num w:numId="31">
    <w:abstractNumId w:val="14"/>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22"/>
    <w:rsid w:val="00047469"/>
    <w:rsid w:val="00051CF3"/>
    <w:rsid w:val="000764C1"/>
    <w:rsid w:val="000C309D"/>
    <w:rsid w:val="000C510B"/>
    <w:rsid w:val="00145383"/>
    <w:rsid w:val="001466F3"/>
    <w:rsid w:val="001B015B"/>
    <w:rsid w:val="001C67B3"/>
    <w:rsid w:val="001D1BE9"/>
    <w:rsid w:val="001E727B"/>
    <w:rsid w:val="001F5267"/>
    <w:rsid w:val="00263536"/>
    <w:rsid w:val="00305980"/>
    <w:rsid w:val="0030736D"/>
    <w:rsid w:val="003145DC"/>
    <w:rsid w:val="00321BF5"/>
    <w:rsid w:val="003636F7"/>
    <w:rsid w:val="00366753"/>
    <w:rsid w:val="003A73BE"/>
    <w:rsid w:val="003A7ABC"/>
    <w:rsid w:val="003B6BA5"/>
    <w:rsid w:val="003F06F8"/>
    <w:rsid w:val="00422CBB"/>
    <w:rsid w:val="00445346"/>
    <w:rsid w:val="00457A07"/>
    <w:rsid w:val="00460C7B"/>
    <w:rsid w:val="004E2DC4"/>
    <w:rsid w:val="004E2E8C"/>
    <w:rsid w:val="004F0F9B"/>
    <w:rsid w:val="00503AB4"/>
    <w:rsid w:val="005277C0"/>
    <w:rsid w:val="00557B73"/>
    <w:rsid w:val="00571FD1"/>
    <w:rsid w:val="005B2CEA"/>
    <w:rsid w:val="005F346B"/>
    <w:rsid w:val="005F4236"/>
    <w:rsid w:val="006879E7"/>
    <w:rsid w:val="006951D6"/>
    <w:rsid w:val="007118CC"/>
    <w:rsid w:val="00752AD0"/>
    <w:rsid w:val="00810DAD"/>
    <w:rsid w:val="00840DCC"/>
    <w:rsid w:val="008A5903"/>
    <w:rsid w:val="008B01AD"/>
    <w:rsid w:val="009168A9"/>
    <w:rsid w:val="009248FC"/>
    <w:rsid w:val="00926719"/>
    <w:rsid w:val="00954045"/>
    <w:rsid w:val="009A0797"/>
    <w:rsid w:val="009A7612"/>
    <w:rsid w:val="009B04A5"/>
    <w:rsid w:val="009C572D"/>
    <w:rsid w:val="009C5AFA"/>
    <w:rsid w:val="009E23FF"/>
    <w:rsid w:val="009F4793"/>
    <w:rsid w:val="00A02D16"/>
    <w:rsid w:val="00A50922"/>
    <w:rsid w:val="00A83A3B"/>
    <w:rsid w:val="00AF24CA"/>
    <w:rsid w:val="00BC268E"/>
    <w:rsid w:val="00BE2A21"/>
    <w:rsid w:val="00C1328F"/>
    <w:rsid w:val="00C2329B"/>
    <w:rsid w:val="00C35073"/>
    <w:rsid w:val="00C35FC5"/>
    <w:rsid w:val="00C56AA1"/>
    <w:rsid w:val="00C6267B"/>
    <w:rsid w:val="00C66D06"/>
    <w:rsid w:val="00C9095C"/>
    <w:rsid w:val="00C94FE0"/>
    <w:rsid w:val="00CB75E6"/>
    <w:rsid w:val="00CE5C1C"/>
    <w:rsid w:val="00CF3C1F"/>
    <w:rsid w:val="00D167DC"/>
    <w:rsid w:val="00D37894"/>
    <w:rsid w:val="00D4327F"/>
    <w:rsid w:val="00D46C01"/>
    <w:rsid w:val="00D62F90"/>
    <w:rsid w:val="00DD3C99"/>
    <w:rsid w:val="00EA1BFA"/>
    <w:rsid w:val="00EB49DE"/>
    <w:rsid w:val="00EE115A"/>
    <w:rsid w:val="00F644C6"/>
    <w:rsid w:val="00FB5086"/>
    <w:rsid w:val="00FC072D"/>
    <w:rsid w:val="00FD2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6FEB"/>
  <w15:docId w15:val="{E65A3E4A-1A66-481B-B7AE-7E6DB8FF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7C0"/>
  </w:style>
  <w:style w:type="paragraph" w:styleId="Ttulo1">
    <w:name w:val="heading 1"/>
    <w:basedOn w:val="Normal"/>
    <w:link w:val="Ttulo1Char"/>
    <w:uiPriority w:val="9"/>
    <w:qFormat/>
    <w:rsid w:val="00EE11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E115A"/>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EE115A"/>
  </w:style>
  <w:style w:type="character" w:styleId="Hyperlink">
    <w:name w:val="Hyperlink"/>
    <w:basedOn w:val="Fontepargpadro"/>
    <w:uiPriority w:val="99"/>
    <w:semiHidden/>
    <w:unhideWhenUsed/>
    <w:rsid w:val="00EE115A"/>
    <w:rPr>
      <w:color w:val="0000FF"/>
      <w:u w:val="single"/>
    </w:rPr>
  </w:style>
  <w:style w:type="character" w:customStyle="1" w:styleId="Ttulo1Char">
    <w:name w:val="Título 1 Char"/>
    <w:basedOn w:val="Fontepargpadro"/>
    <w:link w:val="Ttulo1"/>
    <w:uiPriority w:val="9"/>
    <w:rsid w:val="00EE115A"/>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EE115A"/>
    <w:rPr>
      <w:i/>
      <w:iCs/>
    </w:rPr>
  </w:style>
  <w:style w:type="character" w:styleId="Forte">
    <w:name w:val="Strong"/>
    <w:basedOn w:val="Fontepargpadro"/>
    <w:uiPriority w:val="22"/>
    <w:qFormat/>
    <w:rsid w:val="00557B73"/>
    <w:rPr>
      <w:b/>
      <w:bCs/>
    </w:rPr>
  </w:style>
  <w:style w:type="paragraph" w:styleId="PargrafodaLista">
    <w:name w:val="List Paragraph"/>
    <w:basedOn w:val="Normal"/>
    <w:uiPriority w:val="34"/>
    <w:qFormat/>
    <w:rsid w:val="00C6267B"/>
    <w:pPr>
      <w:ind w:left="720"/>
      <w:contextualSpacing/>
    </w:pPr>
  </w:style>
  <w:style w:type="table" w:styleId="Tabelacomgrade">
    <w:name w:val="Table Grid"/>
    <w:basedOn w:val="Tabelanormal"/>
    <w:uiPriority w:val="59"/>
    <w:rsid w:val="004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7526">
      <w:bodyDiv w:val="1"/>
      <w:marLeft w:val="0"/>
      <w:marRight w:val="0"/>
      <w:marTop w:val="0"/>
      <w:marBottom w:val="0"/>
      <w:divBdr>
        <w:top w:val="none" w:sz="0" w:space="0" w:color="auto"/>
        <w:left w:val="none" w:sz="0" w:space="0" w:color="auto"/>
        <w:bottom w:val="none" w:sz="0" w:space="0" w:color="auto"/>
        <w:right w:val="none" w:sz="0" w:space="0" w:color="auto"/>
      </w:divBdr>
    </w:div>
    <w:div w:id="171071231">
      <w:bodyDiv w:val="1"/>
      <w:marLeft w:val="0"/>
      <w:marRight w:val="0"/>
      <w:marTop w:val="0"/>
      <w:marBottom w:val="0"/>
      <w:divBdr>
        <w:top w:val="none" w:sz="0" w:space="0" w:color="auto"/>
        <w:left w:val="none" w:sz="0" w:space="0" w:color="auto"/>
        <w:bottom w:val="none" w:sz="0" w:space="0" w:color="auto"/>
        <w:right w:val="none" w:sz="0" w:space="0" w:color="auto"/>
      </w:divBdr>
    </w:div>
    <w:div w:id="182865901">
      <w:bodyDiv w:val="1"/>
      <w:marLeft w:val="0"/>
      <w:marRight w:val="0"/>
      <w:marTop w:val="0"/>
      <w:marBottom w:val="0"/>
      <w:divBdr>
        <w:top w:val="none" w:sz="0" w:space="0" w:color="auto"/>
        <w:left w:val="none" w:sz="0" w:space="0" w:color="auto"/>
        <w:bottom w:val="none" w:sz="0" w:space="0" w:color="auto"/>
        <w:right w:val="none" w:sz="0" w:space="0" w:color="auto"/>
      </w:divBdr>
    </w:div>
    <w:div w:id="247425873">
      <w:bodyDiv w:val="1"/>
      <w:marLeft w:val="0"/>
      <w:marRight w:val="0"/>
      <w:marTop w:val="0"/>
      <w:marBottom w:val="0"/>
      <w:divBdr>
        <w:top w:val="none" w:sz="0" w:space="0" w:color="auto"/>
        <w:left w:val="none" w:sz="0" w:space="0" w:color="auto"/>
        <w:bottom w:val="none" w:sz="0" w:space="0" w:color="auto"/>
        <w:right w:val="none" w:sz="0" w:space="0" w:color="auto"/>
      </w:divBdr>
    </w:div>
    <w:div w:id="819348088">
      <w:bodyDiv w:val="1"/>
      <w:marLeft w:val="0"/>
      <w:marRight w:val="0"/>
      <w:marTop w:val="0"/>
      <w:marBottom w:val="0"/>
      <w:divBdr>
        <w:top w:val="none" w:sz="0" w:space="0" w:color="auto"/>
        <w:left w:val="none" w:sz="0" w:space="0" w:color="auto"/>
        <w:bottom w:val="none" w:sz="0" w:space="0" w:color="auto"/>
        <w:right w:val="none" w:sz="0" w:space="0" w:color="auto"/>
      </w:divBdr>
    </w:div>
    <w:div w:id="929656799">
      <w:bodyDiv w:val="1"/>
      <w:marLeft w:val="0"/>
      <w:marRight w:val="0"/>
      <w:marTop w:val="0"/>
      <w:marBottom w:val="0"/>
      <w:divBdr>
        <w:top w:val="none" w:sz="0" w:space="0" w:color="auto"/>
        <w:left w:val="none" w:sz="0" w:space="0" w:color="auto"/>
        <w:bottom w:val="none" w:sz="0" w:space="0" w:color="auto"/>
        <w:right w:val="none" w:sz="0" w:space="0" w:color="auto"/>
      </w:divBdr>
      <w:divsChild>
        <w:div w:id="1922567855">
          <w:marLeft w:val="0"/>
          <w:marRight w:val="0"/>
          <w:marTop w:val="0"/>
          <w:marBottom w:val="0"/>
          <w:divBdr>
            <w:top w:val="none" w:sz="0" w:space="0" w:color="auto"/>
            <w:left w:val="none" w:sz="0" w:space="0" w:color="auto"/>
            <w:bottom w:val="none" w:sz="0" w:space="0" w:color="auto"/>
            <w:right w:val="none" w:sz="0" w:space="0" w:color="auto"/>
          </w:divBdr>
        </w:div>
        <w:div w:id="798113842">
          <w:marLeft w:val="0"/>
          <w:marRight w:val="0"/>
          <w:marTop w:val="0"/>
          <w:marBottom w:val="272"/>
          <w:divBdr>
            <w:top w:val="none" w:sz="0" w:space="0" w:color="auto"/>
            <w:left w:val="none" w:sz="0" w:space="0" w:color="auto"/>
            <w:bottom w:val="none" w:sz="0" w:space="0" w:color="auto"/>
            <w:right w:val="none" w:sz="0" w:space="0" w:color="auto"/>
          </w:divBdr>
        </w:div>
        <w:div w:id="1369796494">
          <w:marLeft w:val="0"/>
          <w:marRight w:val="0"/>
          <w:marTop w:val="0"/>
          <w:marBottom w:val="0"/>
          <w:divBdr>
            <w:top w:val="none" w:sz="0" w:space="0" w:color="auto"/>
            <w:left w:val="none" w:sz="0" w:space="0" w:color="auto"/>
            <w:bottom w:val="none" w:sz="0" w:space="0" w:color="auto"/>
            <w:right w:val="none" w:sz="0" w:space="0" w:color="auto"/>
          </w:divBdr>
        </w:div>
      </w:divsChild>
    </w:div>
    <w:div w:id="999389007">
      <w:bodyDiv w:val="1"/>
      <w:marLeft w:val="0"/>
      <w:marRight w:val="0"/>
      <w:marTop w:val="0"/>
      <w:marBottom w:val="0"/>
      <w:divBdr>
        <w:top w:val="none" w:sz="0" w:space="0" w:color="auto"/>
        <w:left w:val="none" w:sz="0" w:space="0" w:color="auto"/>
        <w:bottom w:val="none" w:sz="0" w:space="0" w:color="auto"/>
        <w:right w:val="none" w:sz="0" w:space="0" w:color="auto"/>
      </w:divBdr>
    </w:div>
    <w:div w:id="1085032188">
      <w:bodyDiv w:val="1"/>
      <w:marLeft w:val="0"/>
      <w:marRight w:val="0"/>
      <w:marTop w:val="0"/>
      <w:marBottom w:val="0"/>
      <w:divBdr>
        <w:top w:val="none" w:sz="0" w:space="0" w:color="auto"/>
        <w:left w:val="none" w:sz="0" w:space="0" w:color="auto"/>
        <w:bottom w:val="none" w:sz="0" w:space="0" w:color="auto"/>
        <w:right w:val="none" w:sz="0" w:space="0" w:color="auto"/>
      </w:divBdr>
    </w:div>
    <w:div w:id="1378318457">
      <w:bodyDiv w:val="1"/>
      <w:marLeft w:val="0"/>
      <w:marRight w:val="0"/>
      <w:marTop w:val="0"/>
      <w:marBottom w:val="0"/>
      <w:divBdr>
        <w:top w:val="none" w:sz="0" w:space="0" w:color="auto"/>
        <w:left w:val="none" w:sz="0" w:space="0" w:color="auto"/>
        <w:bottom w:val="none" w:sz="0" w:space="0" w:color="auto"/>
        <w:right w:val="none" w:sz="0" w:space="0" w:color="auto"/>
      </w:divBdr>
    </w:div>
    <w:div w:id="1797916214">
      <w:bodyDiv w:val="1"/>
      <w:marLeft w:val="0"/>
      <w:marRight w:val="0"/>
      <w:marTop w:val="0"/>
      <w:marBottom w:val="0"/>
      <w:divBdr>
        <w:top w:val="none" w:sz="0" w:space="0" w:color="auto"/>
        <w:left w:val="none" w:sz="0" w:space="0" w:color="auto"/>
        <w:bottom w:val="none" w:sz="0" w:space="0" w:color="auto"/>
        <w:right w:val="none" w:sz="0" w:space="0" w:color="auto"/>
      </w:divBdr>
    </w:div>
    <w:div w:id="1811164546">
      <w:bodyDiv w:val="1"/>
      <w:marLeft w:val="0"/>
      <w:marRight w:val="0"/>
      <w:marTop w:val="0"/>
      <w:marBottom w:val="0"/>
      <w:divBdr>
        <w:top w:val="none" w:sz="0" w:space="0" w:color="auto"/>
        <w:left w:val="none" w:sz="0" w:space="0" w:color="auto"/>
        <w:bottom w:val="none" w:sz="0" w:space="0" w:color="auto"/>
        <w:right w:val="none" w:sz="0" w:space="0" w:color="auto"/>
      </w:divBdr>
    </w:div>
    <w:div w:id="1872844156">
      <w:bodyDiv w:val="1"/>
      <w:marLeft w:val="0"/>
      <w:marRight w:val="0"/>
      <w:marTop w:val="0"/>
      <w:marBottom w:val="0"/>
      <w:divBdr>
        <w:top w:val="none" w:sz="0" w:space="0" w:color="auto"/>
        <w:left w:val="none" w:sz="0" w:space="0" w:color="auto"/>
        <w:bottom w:val="none" w:sz="0" w:space="0" w:color="auto"/>
        <w:right w:val="none" w:sz="0" w:space="0" w:color="auto"/>
      </w:divBdr>
    </w:div>
    <w:div w:id="213740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2782</Words>
  <Characters>15024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User</cp:lastModifiedBy>
  <cp:revision>22</cp:revision>
  <dcterms:created xsi:type="dcterms:W3CDTF">2020-11-27T10:14:00Z</dcterms:created>
  <dcterms:modified xsi:type="dcterms:W3CDTF">2020-11-27T11:59:00Z</dcterms:modified>
</cp:coreProperties>
</file>