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27200"/>
          <w:sz w:val="18"/>
          <w:szCs w:val="18"/>
          <w:u w:val="none"/>
          <w:shd w:fill="auto" w:val="clear"/>
          <w:vertAlign w:val="baseline"/>
          <w:rtl w:val="0"/>
        </w:rPr>
        <w:t xml:space="preserve">23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  <w:rtl w:val="0"/>
        </w:rPr>
        <w:t xml:space="preserve">4.2.5. Exclusão de Sócio (continuação)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4"/>
          <w:szCs w:val="34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747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74700"/>
          <w:sz w:val="34"/>
          <w:szCs w:val="34"/>
          <w:u w:val="none"/>
          <w:shd w:fill="auto" w:val="clear"/>
          <w:vertAlign w:val="baseline"/>
          <w:rtl w:val="0"/>
        </w:rPr>
        <w:t xml:space="preserve">(...)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4"/>
          <w:szCs w:val="34"/>
          <w:u w:val="none"/>
          <w:shd w:fill="auto" w:val="clear"/>
          <w:vertAlign w:val="baseline"/>
          <w:rtl w:val="0"/>
        </w:rPr>
        <w:t xml:space="preserve">) 1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4"/>
          <w:szCs w:val="34"/>
          <w:u w:val="none"/>
          <w:shd w:fill="auto" w:val="clear"/>
          <w:vertAlign w:val="baseline"/>
          <w:rtl w:val="0"/>
        </w:rPr>
        <w:t xml:space="preserve">10))0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8.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8"/>
          <w:szCs w:val="28"/>
          <w:u w:val="none"/>
          <w:shd w:fill="auto" w:val="clear"/>
          <w:vertAlign w:val="baseline"/>
          <w:rtl w:val="0"/>
        </w:rPr>
        <w:t xml:space="preserve">d) após notificação, o sócio infrator persistir na prática de qualquer ato que coloque em risco a reputação e credibilidade da Sociedade; e) sua inadimplência para com a Sociedade não sanada no prazo de 15 (quinze) dias após notificação nesse sentido; e f) em caso de atos de inegável gravidade, nos termos do Acordo de Sócios.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Segundo. A exclusão de sócio será determinada em reunião especialmente convocada para esta finalidade, na forma prevista no presente Contrato Social, observado o disposto no artigo 1.085 do Código Civil.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Parágrafo Terceiro. A aquisição, pela Sociedade, dos haveres do sócio excluído se dará segundo as regras e prazos estipulados no Parágrafo Único da Cláusula Quatorze, mediante aplicação de um deságio de []% ([ ] por cento) sobre o valor encontrado para as referidas quotas.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HOLDING FAMILIAR ESTRUTURA JURÍDICO-SOCIETÁRIA E ASPECTOS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PATRIMONIAIS E SUCESSÓRIOS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“Estar preparado é metade da vitória."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Miguel de Cervantes Saavedra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Jurídica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