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2. As questões de direito de família envolvidas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0"/>
          <w:szCs w:val="30"/>
          <w:u w:val="none"/>
          <w:shd w:fill="auto" w:val="clear"/>
          <w:vertAlign w:val="baseline"/>
          <w:rtl w:val="0"/>
        </w:rPr>
        <w:t xml:space="preserve">2.4.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30"/>
          <w:szCs w:val="30"/>
          <w:u w:val="none"/>
          <w:shd w:fill="auto" w:val="clear"/>
          <w:vertAlign w:val="baseline"/>
          <w:rtl w:val="0"/>
        </w:rPr>
        <w:t xml:space="preserve">O desafio decorrente da união civil dos sucessores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6"/>
          <w:szCs w:val="26"/>
          <w:u w:val="none"/>
          <w:shd w:fill="auto" w:val="clear"/>
          <w:vertAlign w:val="baseline"/>
          <w:rtl w:val="0"/>
        </w:rPr>
        <w:t xml:space="preserve">Oregime de casamento dos integrantes e a composição da família relacionada ao planejamento e à holding familiar são talvez os pontos mais sensíveis de direito de família envolvidos nos projetos dessa natureza e, exatamente por isso, deve ser atentamente observado.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6"/>
          <w:szCs w:val="26"/>
          <w:u w:val="none"/>
          <w:shd w:fill="auto" w:val="clear"/>
          <w:vertAlign w:val="baseline"/>
          <w:rtl w:val="0"/>
        </w:rPr>
        <w:t xml:space="preserve">Amesma atenção é merecida pela futura união civil dos sucessores envolvidos no projeto.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Reflexão sobre caso concreto: O Projeto do Norte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38"/>
          <w:szCs w:val="38"/>
          <w:u w:val="none"/>
          <w:shd w:fill="auto" w:val="clear"/>
          <w:vertAlign w:val="baseline"/>
          <w:rtl w:val="0"/>
        </w:rPr>
        <w:t xml:space="preserve">3. As estruturas societárias como instrumentos de organização patrimonial e sucessória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38"/>
          <w:szCs w:val="38"/>
          <w:u w:val="none"/>
          <w:shd w:fill="auto" w:val="clear"/>
          <w:vertAlign w:val="baseline"/>
          <w:rtl w:val="0"/>
        </w:rPr>
        <w:t xml:space="preserve">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30"/>
          <w:szCs w:val="30"/>
          <w:u w:val="none"/>
          <w:shd w:fill="auto" w:val="clear"/>
          <w:vertAlign w:val="baseline"/>
          <w:rtl w:val="0"/>
        </w:rPr>
        <w:t xml:space="preserve">))))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  <w:rtl w:val="0"/>
        </w:rPr>
        <w:t xml:space="preserve">MARINA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8"/>
          <w:szCs w:val="38"/>
          <w:u w:val="none"/>
          <w:shd w:fill="auto" w:val="clear"/>
          <w:vertAlign w:val="baseline"/>
          <w:rtl w:val="0"/>
        </w:rPr>
        <w:t xml:space="preserve">J. Jurídica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