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2a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2a2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38"/>
          <w:szCs w:val="38"/>
          <w:u w:val="none"/>
          <w:shd w:fill="auto" w:val="clear"/>
          <w:vertAlign w:val="baseline"/>
          <w:rtl w:val="0"/>
        </w:rPr>
        <w:t xml:space="preserve">2. As questões de direito de família envolvidas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36"/>
          <w:szCs w:val="36"/>
          <w:u w:val="none"/>
          <w:shd w:fill="auto" w:val="clear"/>
          <w:vertAlign w:val="baseline"/>
          <w:rtl w:val="0"/>
        </w:rPr>
        <w:t xml:space="preserve">2.1.2. O pacto antenupcial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4"/>
          <w:szCs w:val="34"/>
          <w:u w:val="none"/>
          <w:shd w:fill="auto" w:val="clear"/>
          <w:vertAlign w:val="baseline"/>
          <w:rtl w:val="0"/>
        </w:rPr>
        <w:t xml:space="preserve">2.2. A sociedade entre cônjuges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7.599999999999994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38"/>
          <w:szCs w:val="38"/>
          <w:u w:val="none"/>
          <w:shd w:fill="auto" w:val="clear"/>
          <w:vertAlign w:val="baseline"/>
          <w:rtl w:val="0"/>
        </w:rPr>
        <w:t xml:space="preserve">2. As questões de direito de família envolvidas 2013 Oregime de casamento e a hipótes: civóveis do cônjuge: efeitos diversos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be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beb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3.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2"/>
          <w:szCs w:val="22"/>
          <w:u w:val="none"/>
          <w:shd w:fill="auto" w:val="clear"/>
          <w:vertAlign w:val="baseline"/>
          <w:rtl w:val="0"/>
        </w:rPr>
        <w:t xml:space="preserve">O regime de casamento dos integrantes e a composição da família relacionada ao Planejamento é talvez o ponto mais sensível de direito de família envolvido nos projetos de Planejamento Patrimonial e, exatamente por isso, deve ser atentamente observado.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a9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a9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dad00"/>
          <w:sz w:val="38"/>
          <w:szCs w:val="38"/>
          <w:u w:val="none"/>
          <w:shd w:fill="auto" w:val="clear"/>
          <w:vertAlign w:val="baseline"/>
          <w:rtl w:val="0"/>
        </w:rPr>
        <w:t xml:space="preserve">I Jurídica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18"/>
          <w:szCs w:val="18"/>
          <w:u w:val="none"/>
          <w:shd w:fill="auto" w:val="clear"/>
          <w:vertAlign w:val="baseline"/>
          <w:rtl w:val="0"/>
        </w:rPr>
        <w:t xml:space="preserve">SETODOLOGIA PRATICA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