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b9b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b9b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7f7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f7f00"/>
          <w:sz w:val="18"/>
          <w:szCs w:val="18"/>
          <w:u w:val="none"/>
          <w:shd w:fill="auto" w:val="clear"/>
          <w:vertAlign w:val="baseline"/>
          <w:rtl w:val="0"/>
        </w:rPr>
        <w:t xml:space="preserve">18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da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dad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42"/>
          <w:szCs w:val="42"/>
          <w:u w:val="none"/>
          <w:shd w:fill="auto" w:val="clear"/>
          <w:vertAlign w:val="baseline"/>
          <w:rtl w:val="0"/>
        </w:rPr>
        <w:t xml:space="preserve">4.1. Determinantes estratégias da escolha do tipo societário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0b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0b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  <w:rtl w:val="0"/>
        </w:rPr>
        <w:t xml:space="preserve">Ltda.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.35315985130111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0"/>
          <w:szCs w:val="20"/>
          <w:u w:val="none"/>
          <w:shd w:fill="auto" w:val="clear"/>
          <w:vertAlign w:val="baseline"/>
          <w:rtl w:val="0"/>
        </w:rPr>
        <w:t xml:space="preserve">Transferência de Quotas/Ações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33.8289962825279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0"/>
          <w:szCs w:val="20"/>
          <w:u w:val="none"/>
          <w:shd w:fill="auto" w:val="clear"/>
          <w:vertAlign w:val="baseline"/>
          <w:rtl w:val="0"/>
        </w:rPr>
        <w:t xml:space="preserve">• Respeito ao Contrato Social e Acordo de Sócios, se houver;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12.4163568773234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  <w:rtl w:val="0"/>
        </w:rPr>
        <w:t xml:space="preserve">• Instrumento: Alteração Contratual que deverá ser registrada na Junta Comercial (maior burocracia e morosidade na transferência).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9a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9a900"/>
          <w:sz w:val="18"/>
          <w:szCs w:val="18"/>
          <w:u w:val="none"/>
          <w:shd w:fill="auto" w:val="clear"/>
          <w:vertAlign w:val="baseline"/>
          <w:rtl w:val="0"/>
        </w:rPr>
        <w:t xml:space="preserve">S.A. de capital fechado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77700"/>
          <w:sz w:val="20"/>
          <w:szCs w:val="20"/>
          <w:u w:val="none"/>
          <w:shd w:fill="auto" w:val="clear"/>
          <w:vertAlign w:val="baseline"/>
          <w:rtl w:val="0"/>
        </w:rPr>
        <w:t xml:space="preserve">• Respeito ao Direito de preferência;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17.7695167286245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0"/>
          <w:szCs w:val="20"/>
          <w:u w:val="none"/>
          <w:shd w:fill="auto" w:val="clear"/>
          <w:vertAlign w:val="baseline"/>
          <w:rtl w:val="0"/>
        </w:rPr>
        <w:t xml:space="preserve">• Respeito ao Estatuto Social e ao Acordo de Acionistas, se houver;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9.8884758364312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  <w:rtl w:val="0"/>
        </w:rPr>
        <w:t xml:space="preserve">• Instrumento: Livro de Transferência de Ações e livro de Registro de Ações (maior rapidez e facilidade na transferência).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9.8884758364312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0a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0a000"/>
          <w:sz w:val="22"/>
          <w:szCs w:val="22"/>
          <w:u w:val="none"/>
          <w:shd w:fill="auto" w:val="clear"/>
          <w:vertAlign w:val="baseline"/>
          <w:rtl w:val="0"/>
        </w:rPr>
        <w:t xml:space="preserve">• Os lucros devem ser distribuidos sempre proporcionalmente à participação societária de cada acionista.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18"/>
          <w:szCs w:val="18"/>
          <w:u w:val="none"/>
          <w:shd w:fill="auto" w:val="clear"/>
          <w:vertAlign w:val="baseline"/>
          <w:rtl w:val="0"/>
        </w:rPr>
        <w:t xml:space="preserve">Distribuição de Lucros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39.182156133829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18"/>
          <w:szCs w:val="18"/>
          <w:u w:val="none"/>
          <w:shd w:fill="auto" w:val="clear"/>
          <w:vertAlign w:val="baseline"/>
          <w:rtl w:val="0"/>
        </w:rPr>
        <w:t xml:space="preserve">• Possibilidade de distribuição de lucros de forma desigual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0"/>
          <w:szCs w:val="20"/>
          <w:u w:val="none"/>
          <w:shd w:fill="auto" w:val="clear"/>
          <w:vertAlign w:val="baseline"/>
          <w:rtl w:val="0"/>
        </w:rPr>
        <w:t xml:space="preserve">Constituição entre cônjuges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01.710037174721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48400"/>
          <w:sz w:val="20"/>
          <w:szCs w:val="20"/>
          <w:u w:val="none"/>
          <w:shd w:fill="auto" w:val="clear"/>
          <w:vertAlign w:val="baseline"/>
          <w:rtl w:val="0"/>
        </w:rPr>
        <w:t xml:space="preserve">• Vedada entre cônjuges casados no regime de comunhão universal de bns ou no de separação obrigatória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18"/>
          <w:szCs w:val="18"/>
          <w:u w:val="none"/>
          <w:shd w:fill="auto" w:val="clear"/>
          <w:vertAlign w:val="baseline"/>
          <w:rtl w:val="0"/>
        </w:rPr>
        <w:t xml:space="preserve">Sem restrição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3a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3a300"/>
          <w:sz w:val="38"/>
          <w:szCs w:val="38"/>
          <w:u w:val="none"/>
          <w:shd w:fill="auto" w:val="clear"/>
          <w:vertAlign w:val="baseline"/>
          <w:rtl w:val="0"/>
        </w:rPr>
        <w:t xml:space="preserve">* It do - Gode ter surely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3f3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3f300"/>
          <w:sz w:val="42"/>
          <w:szCs w:val="42"/>
          <w:u w:val="none"/>
          <w:shd w:fill="auto" w:val="clear"/>
          <w:vertAlign w:val="baseline"/>
          <w:rtl w:val="0"/>
        </w:rPr>
        <w:t xml:space="preserve">|4.1. Determinantes estratégias da escolha do tipo societário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.35315985130111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30"/>
          <w:szCs w:val="30"/>
          <w:u w:val="none"/>
          <w:shd w:fill="auto" w:val="clear"/>
          <w:vertAlign w:val="baseline"/>
          <w:rtl w:val="0"/>
        </w:rPr>
        <w:t xml:space="preserve">4.1.4. EIRELI (natureza simples e empresária) Previsão legal: Código Civil (artigo 980-A)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0"/>
          <w:szCs w:val="30"/>
          <w:u w:val="none"/>
          <w:shd w:fill="auto" w:val="clear"/>
          <w:vertAlign w:val="baseline"/>
          <w:rtl w:val="0"/>
        </w:rPr>
        <w:t xml:space="preserve">4.1.5. Outras espécies de organizações jurídicas. Apontamentos gerais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2"/>
          <w:szCs w:val="32"/>
          <w:u w:val="none"/>
          <w:shd w:fill="auto" w:val="clear"/>
          <w:vertAlign w:val="baseline"/>
          <w:rtl w:val="0"/>
        </w:rPr>
        <w:t xml:space="preserve">Sociedades não personificadas: (i) SCP; e, (ii) sociedade em comum (irregulares).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30"/>
          <w:szCs w:val="30"/>
          <w:u w:val="none"/>
          <w:shd w:fill="auto" w:val="clear"/>
          <w:vertAlign w:val="baseline"/>
          <w:rtl w:val="0"/>
        </w:rPr>
        <w:t xml:space="preserve">Fundos de Investimento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2.11895910780669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6"/>
          <w:szCs w:val="26"/>
          <w:u w:val="none"/>
          <w:shd w:fill="auto" w:val="clear"/>
          <w:vertAlign w:val="baseline"/>
          <w:rtl w:val="0"/>
        </w:rPr>
        <w:t xml:space="preserve">O fundo de investimento é uma comunhão de recursos, constituída sob a forma de condominio, destinado à aplicação em ativos financeiros, nos termos da legislação.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2"/>
          <w:szCs w:val="32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6.05947955390334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32"/>
          <w:szCs w:val="32"/>
          <w:u w:val="none"/>
          <w:shd w:fill="auto" w:val="clear"/>
          <w:vertAlign w:val="baseline"/>
          <w:rtl w:val="0"/>
        </w:rPr>
        <w:t xml:space="preserve">No Brasil, os fundos de investimento se sujeitam as regras editadas pela Comissão de Valores Mobiliários, autarquia na qual os fundos devem ser registrados.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42"/>
          <w:szCs w:val="42"/>
          <w:u w:val="none"/>
          <w:shd w:fill="auto" w:val="clear"/>
          <w:vertAlign w:val="baseline"/>
          <w:rtl w:val="0"/>
        </w:rPr>
        <w:t xml:space="preserve">J Jurídica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