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ede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ede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0d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0d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ede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ede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2c2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2c2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676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67600"/>
          <w:sz w:val="18"/>
          <w:szCs w:val="18"/>
          <w:u w:val="none"/>
          <w:shd w:fill="auto" w:val="clear"/>
          <w:vertAlign w:val="baseline"/>
          <w:rtl w:val="0"/>
        </w:rPr>
        <w:t xml:space="preserve">24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6e6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6e6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bdb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bdb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cdc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cdc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afa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afa00"/>
          <w:sz w:val="36"/>
          <w:szCs w:val="36"/>
          <w:u w:val="none"/>
          <w:shd w:fill="auto" w:val="clear"/>
          <w:vertAlign w:val="baseline"/>
          <w:rtl w:val="0"/>
        </w:rPr>
        <w:t xml:space="preserve">Dia 2 - Revisão do conteúdo abordado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fcf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fcf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7d7d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7d7d00"/>
          <w:sz w:val="28"/>
          <w:szCs w:val="28"/>
          <w:u w:val="none"/>
          <w:shd w:fill="auto" w:val="clear"/>
          <w:vertAlign w:val="baseline"/>
          <w:rtl w:val="0"/>
        </w:rPr>
        <w:t xml:space="preserve">1.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747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74700"/>
          <w:sz w:val="28"/>
          <w:szCs w:val="28"/>
          <w:u w:val="none"/>
          <w:shd w:fill="auto" w:val="clear"/>
          <w:vertAlign w:val="baseline"/>
          <w:rtl w:val="0"/>
        </w:rPr>
        <w:t xml:space="preserve">A Holding Familiar: aspectos introdutórios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fbf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fbf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afaf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afaf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5f5f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5f5f00"/>
          <w:sz w:val="28"/>
          <w:szCs w:val="28"/>
          <w:u w:val="none"/>
          <w:shd w:fill="auto" w:val="clear"/>
          <w:vertAlign w:val="baseline"/>
          <w:rtl w:val="0"/>
        </w:rPr>
        <w:t xml:space="preserve">2.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bdb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bdb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bcb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bcb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767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76700"/>
          <w:sz w:val="22"/>
          <w:szCs w:val="22"/>
          <w:u w:val="none"/>
          <w:shd w:fill="auto" w:val="clear"/>
          <w:vertAlign w:val="baseline"/>
          <w:rtl w:val="0"/>
        </w:rPr>
        <w:t xml:space="preserve">As questões de direito de família envolvidas 2.1. A união civil (regime) dos titulares dos bens e a composição da família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555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55500"/>
          <w:sz w:val="26"/>
          <w:szCs w:val="26"/>
          <w:u w:val="none"/>
          <w:shd w:fill="auto" w:val="clear"/>
          <w:vertAlign w:val="baseline"/>
          <w:rtl w:val="0"/>
        </w:rPr>
        <w:t xml:space="preserve">2.1.1. O contrato de namoro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801.5999999999999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989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98900"/>
          <w:sz w:val="26"/>
          <w:szCs w:val="26"/>
          <w:u w:val="none"/>
          <w:shd w:fill="auto" w:val="clear"/>
          <w:vertAlign w:val="baseline"/>
          <w:rtl w:val="0"/>
        </w:rPr>
        <w:t xml:space="preserve">2.1.2. O pacto antenupcial A sociedade entre cônjuges O regime de casamento e a hipótese de divórcio e morte do cônjuge: efeitos diversos O desafio decorrente da união civil dos sucessores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1c1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1c1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19.2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d4d4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d4d400"/>
          <w:sz w:val="24"/>
          <w:szCs w:val="24"/>
          <w:u w:val="none"/>
          <w:shd w:fill="auto" w:val="clear"/>
          <w:vertAlign w:val="baseline"/>
          <w:rtl w:val="0"/>
        </w:rPr>
        <w:t xml:space="preserve">2.2. 2.3. 2.4.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efe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efe00"/>
          <w:sz w:val="20"/>
          <w:szCs w:val="20"/>
          <w:u w:val="none"/>
          <w:shd w:fill="auto" w:val="clear"/>
          <w:vertAlign w:val="baseline"/>
          <w:rtl w:val="0"/>
        </w:rPr>
        <w:t xml:space="preserve">I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8e8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8e8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d5d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d5d00"/>
          <w:sz w:val="24"/>
          <w:szCs w:val="24"/>
          <w:u w:val="none"/>
          <w:shd w:fill="auto" w:val="clear"/>
          <w:vertAlign w:val="baseline"/>
          <w:rtl w:val="0"/>
        </w:rPr>
        <w:t xml:space="preserve">As estruturas societárias como instrumentos de organização patrimonial e sucessória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464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46400"/>
          <w:sz w:val="22"/>
          <w:szCs w:val="22"/>
          <w:u w:val="none"/>
          <w:shd w:fill="auto" w:val="clear"/>
          <w:vertAlign w:val="baseline"/>
          <w:rtl w:val="0"/>
        </w:rPr>
        <w:t xml:space="preserve">3.1. Aspectos gerais e motivações fiscais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fcf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fcf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aba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aba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0c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0c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bcb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bcb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8c8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8c8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dcd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dcd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bdb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bdb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bcb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bcb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4d4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4d4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8f8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8f800"/>
          <w:sz w:val="38"/>
          <w:szCs w:val="38"/>
          <w:u w:val="none"/>
          <w:shd w:fill="auto" w:val="clear"/>
          <w:vertAlign w:val="baseline"/>
          <w:rtl w:val="0"/>
        </w:rPr>
        <w:t xml:space="preserve">Dia 2 - Revisão do conteúdo abordado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ddd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ddd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5c5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5c5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131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13100"/>
          <w:sz w:val="30"/>
          <w:szCs w:val="30"/>
          <w:u w:val="none"/>
          <w:shd w:fill="auto" w:val="clear"/>
          <w:vertAlign w:val="baseline"/>
          <w:rtl w:val="0"/>
        </w:rPr>
        <w:t xml:space="preserve">3.2.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262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26200"/>
          <w:sz w:val="26"/>
          <w:szCs w:val="26"/>
          <w:u w:val="none"/>
          <w:shd w:fill="auto" w:val="clear"/>
          <w:vertAlign w:val="baseline"/>
          <w:rtl w:val="0"/>
        </w:rPr>
        <w:t xml:space="preserve">Algumas espécies de holdings e sua classificação 3.2.1. Holding de participações 3.2.2. Holding imobiliárias 3.2.3. Holding patrimonial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4e4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4e4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4d4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4d4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14.399999999999999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252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25200"/>
          <w:sz w:val="24"/>
          <w:szCs w:val="24"/>
          <w:u w:val="none"/>
          <w:shd w:fill="auto" w:val="clear"/>
          <w:vertAlign w:val="baseline"/>
          <w:rtl w:val="0"/>
        </w:rPr>
        <w:t xml:space="preserve">Tipos societários mais comuns 4.1. Determinantes estratégicas da escolha do tipo societário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4.1.1. Sociedade Simples 4.1.2. Sociedade Limitada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4.1.2.1. A regência complementar das normas relativas às sociedades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758.4000000000001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simples e a regência supletiva pelas normas das sociedades por ações 4.1.3. Sociedade por ações 4.1.4. EIRELI (natureza simples e empresária) 4.1.5. Outras espécies de organizações jurídicas. Apontamentos gerais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  <w:rtl w:val="0"/>
        </w:rPr>
        <w:t xml:space="preserve">J Jurídica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)))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