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2. As questões de direito de família envolvidas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2.1.2. O pacto antenupcial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2.2. A sociedade entre cônjuges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2. As questões de direito de família envolvidas 2013 Oregime de casamento e a hipótes: civóveis do cônjuge: efeitos diversos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.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O regime de casamento dos integrantes e a composição da família relacionada ao Planejamento é talvez o ponto mais sensível de direito de família envolvido nos projetos de Planejamento Patrimonial e, exatamente por isso, deve ser atentamente observado.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  <w:rtl w:val="0"/>
        </w:rPr>
        <w:t xml:space="preserve">SETODOLOGIA PRATICA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