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2. As questões de direito de família envolvidas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2.4.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O desafio decorrente da união civil dos sucessores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Oregime de casamento dos integrantes e a composição da família relacionada ao planejamento e à holding familiar são talvez os pontos mais sensíveis de direito de família envolvidos nos projetos dessa natureza e, exatamente por isso, deve ser atentamente observado.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Amesma atenção é merecida pela futura união civil dos sucessores envolvidos no projeto.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Reflexão sobre caso concreto: O Projeto do Norte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3. As estruturas societárias como instrumentos de organização patrimonial e sucessória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  <w:rtl w:val="0"/>
        </w:rPr>
        <w:t xml:space="preserve">))))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MARINA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8"/>
          <w:szCs w:val="38"/>
          <w:u w:val="none"/>
          <w:shd w:fill="auto" w:val="clear"/>
          <w:vertAlign w:val="baseline"/>
          <w:rtl w:val="0"/>
        </w:rPr>
        <w:t xml:space="preserve">J. Jurídica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