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1e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6e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13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5d5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dbd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45.63380281690141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40"/>
          <w:szCs w:val="40"/>
          <w:u w:val="none"/>
          <w:shd w:fill="auto" w:val="clear"/>
          <w:vertAlign w:val="baseline"/>
          <w:rtl w:val="0"/>
        </w:rPr>
        <w:t xml:space="preserve">3. As estruturas societárias como instrumentos de organização patrimonial e sucessória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6d00"/>
          <w:sz w:val="32"/>
          <w:szCs w:val="32"/>
          <w:u w:val="none"/>
          <w:shd w:fill="auto" w:val="clear"/>
          <w:vertAlign w:val="baseline"/>
          <w:rtl w:val="0"/>
        </w:rPr>
        <w:t xml:space="preserve">3.2. Algumas espécies de holdings e sua classificação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eae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fdf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0"/>
          <w:szCs w:val="30"/>
          <w:u w:val="none"/>
          <w:shd w:fill="auto" w:val="clear"/>
          <w:vertAlign w:val="baseline"/>
          <w:rtl w:val="0"/>
        </w:rPr>
        <w:t xml:space="preserve">O que é e para que serve uma holding familiar?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2e2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56500"/>
          <w:sz w:val="30"/>
          <w:szCs w:val="30"/>
          <w:u w:val="none"/>
          <w:shd w:fill="auto" w:val="clear"/>
          <w:vertAlign w:val="baseline"/>
          <w:rtl w:val="0"/>
        </w:rPr>
        <w:t xml:space="preserve">Sociedade “holding” é conhecida como a sociedade gestora de participação em outras sociedades.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9797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06000"/>
          <w:sz w:val="32"/>
          <w:szCs w:val="32"/>
          <w:u w:val="none"/>
          <w:shd w:fill="auto" w:val="clear"/>
          <w:vertAlign w:val="baseline"/>
          <w:rtl w:val="0"/>
        </w:rPr>
        <w:t xml:space="preserve">No presente curso, Holding Familiar será considerada a sociedade constituída para a gestão direta dos bens e direitos de determinada família, seja para o controle e gestão de participação societária em sociedades dedicadas (i) à exploração dos negócios da família; e/ou, (ii) à exploração do patrimônio da família.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fcf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ddd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fbfb00"/>
          <w:sz w:val="40"/>
          <w:szCs w:val="40"/>
          <w:u w:val="none"/>
          <w:shd w:fill="auto" w:val="clear"/>
          <w:vertAlign w:val="baseline"/>
          <w:rtl w:val="0"/>
        </w:rPr>
        <w:t xml:space="preserve">3.2. Algumas espécies de holding e a sua classificação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ece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6c6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32"/>
          <w:szCs w:val="32"/>
          <w:u w:val="none"/>
          <w:shd w:fill="auto" w:val="clear"/>
          <w:vertAlign w:val="baseline"/>
          <w:rtl w:val="0"/>
        </w:rPr>
        <w:t xml:space="preserve">3.2.1. Holding de participações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0d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Holding de participações é a sociedade dedicada ao controle e gestão de participação societária em outras sociedades.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1d1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b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18"/>
          <w:szCs w:val="18"/>
          <w:u w:val="none"/>
          <w:shd w:fill="auto" w:val="clear"/>
          <w:vertAlign w:val="baseline"/>
          <w:rtl w:val="0"/>
        </w:rPr>
        <w:t xml:space="preserve">Familiar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8d8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bdb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8300"/>
          <w:sz w:val="18"/>
          <w:szCs w:val="18"/>
          <w:u w:val="none"/>
          <w:shd w:fill="auto" w:val="clear"/>
          <w:vertAlign w:val="baseline"/>
          <w:rtl w:val="0"/>
        </w:rPr>
        <w:t xml:space="preserve">Holding de Participações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4c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76700"/>
          <w:sz w:val="18"/>
          <w:szCs w:val="18"/>
          <w:u w:val="none"/>
          <w:shd w:fill="auto" w:val="clear"/>
          <w:vertAlign w:val="baseline"/>
          <w:rtl w:val="0"/>
        </w:rPr>
        <w:t xml:space="preserve">Sociedade Operacional 1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a7a00"/>
          <w:sz w:val="18"/>
          <w:szCs w:val="18"/>
          <w:u w:val="none"/>
          <w:shd w:fill="auto" w:val="clear"/>
          <w:vertAlign w:val="baseline"/>
          <w:rtl w:val="0"/>
        </w:rPr>
        <w:t xml:space="preserve">Sociedade Operacional 3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ada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c7c00"/>
          <w:sz w:val="18"/>
          <w:szCs w:val="18"/>
          <w:u w:val="none"/>
          <w:shd w:fill="auto" w:val="clear"/>
          <w:vertAlign w:val="baseline"/>
          <w:rtl w:val="0"/>
        </w:rPr>
        <w:t xml:space="preserve">Sociedade Operacional 2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24"/>
          <w:szCs w:val="24"/>
          <w:u w:val="none"/>
          <w:shd w:fill="auto" w:val="clear"/>
          <w:vertAlign w:val="baseline"/>
          <w:rtl w:val="0"/>
        </w:rPr>
        <w:t xml:space="preserve">Pontos importantes: motivo, organização e "gatilhos” fiscais.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9d9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4d4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e0e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b300"/>
          <w:sz w:val="40"/>
          <w:szCs w:val="40"/>
          <w:u w:val="none"/>
          <w:shd w:fill="auto" w:val="clear"/>
          <w:vertAlign w:val="baseline"/>
          <w:rtl w:val="0"/>
        </w:rPr>
        <w:t xml:space="preserve">I Jurídica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6d600"/>
          <w:sz w:val="18"/>
          <w:szCs w:val="18"/>
          <w:u w:val="none"/>
          <w:shd w:fill="auto" w:val="clear"/>
          <w:vertAlign w:val="baseline"/>
          <w:rtl w:val="0"/>
        </w:rPr>
        <w:t xml:space="preserve">NOTOXICIA PTICA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dcd00"/>
          <w:sz w:val="30"/>
          <w:szCs w:val="30"/>
          <w:u w:val="none"/>
          <w:shd w:fill="auto" w:val="clear"/>
          <w:vertAlign w:val="baseline"/>
          <w:rtl w:val="0"/>
        </w:rPr>
        <w:t xml:space="preserve">))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contextualSpacing w:val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dcdc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