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ae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aea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34"/>
          <w:szCs w:val="3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15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4"/>
          <w:szCs w:val="34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42"/>
          <w:szCs w:val="42"/>
          <w:u w:val="none"/>
          <w:shd w:fill="auto" w:val="clear"/>
          <w:vertAlign w:val="baseline"/>
          <w:rtl w:val="0"/>
        </w:rPr>
        <w:t xml:space="preserve">Estrutura "combinada"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  <w:rtl w:val="0"/>
        </w:rPr>
        <w:t xml:space="preserve">Atividade Operacional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4"/>
          <w:szCs w:val="3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  <w:rtl w:val="0"/>
        </w:rPr>
        <w:t xml:space="preserve">Holding de Participações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  <w:rtl w:val="0"/>
        </w:rPr>
        <w:t xml:space="preserve">Cliente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4"/>
          <w:szCs w:val="3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18"/>
          <w:szCs w:val="18"/>
          <w:u w:val="none"/>
          <w:shd w:fill="auto" w:val="clear"/>
          <w:vertAlign w:val="baseline"/>
          <w:rtl w:val="0"/>
        </w:rPr>
        <w:t xml:space="preserve">WANAWAWA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18"/>
          <w:szCs w:val="18"/>
          <w:u w:val="none"/>
          <w:shd w:fill="auto" w:val="clear"/>
          <w:vertAlign w:val="baseline"/>
          <w:rtl w:val="0"/>
        </w:rPr>
        <w:t xml:space="preserve">Holding Imobiliária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Holding Patrimonial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4"/>
          <w:szCs w:val="3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  <w:rtl w:val="0"/>
        </w:rPr>
        <w:t xml:space="preserve">Imóvel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  <w:rtl w:val="0"/>
        </w:rPr>
        <w:t xml:space="preserve">Ações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  <w:rtl w:val="0"/>
        </w:rPr>
        <w:t xml:space="preserve">Aplicação financeira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4"/>
          <w:szCs w:val="34"/>
          <w:u w:val="none"/>
          <w:shd w:fill="auto" w:val="clear"/>
          <w:vertAlign w:val="baseline"/>
          <w:rtl w:val="0"/>
        </w:rPr>
        <w:t xml:space="preserve">)))))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38"/>
          <w:szCs w:val="38"/>
          <w:u w:val="none"/>
          <w:shd w:fill="auto" w:val="clear"/>
          <w:vertAlign w:val="baseline"/>
          <w:rtl w:val="0"/>
        </w:rPr>
        <w:t xml:space="preserve">moeror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34"/>
          <w:szCs w:val="34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40"/>
          <w:szCs w:val="40"/>
          <w:u w:val="none"/>
          <w:shd w:fill="auto" w:val="clear"/>
          <w:vertAlign w:val="baseline"/>
          <w:rtl w:val="0"/>
        </w:rPr>
        <w:t xml:space="preserve">4. Tipos societários mais comuns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4"/>
          <w:szCs w:val="34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4.1.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4"/>
          <w:szCs w:val="34"/>
          <w:u w:val="none"/>
          <w:shd w:fill="auto" w:val="clear"/>
          <w:vertAlign w:val="baseline"/>
          <w:rtl w:val="0"/>
        </w:rPr>
        <w:t xml:space="preserve">Determinantes estratégicas da escolha do tipo societário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34"/>
          <w:szCs w:val="3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0.68965517241379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A escolha do tipo jurídico em específico está diretamente ligada ao perfil das pessoas ligadas ao trabalho e às características do patrimônio analisado.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  <w:rtl w:val="0"/>
        </w:rPr>
        <w:t xml:space="preserve">4.1.1. Sociedade Simples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34"/>
          <w:szCs w:val="34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4.1.2. Sociedade Limitada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4.1.2.1. A regência complementar das normas relativas às sociedades * simples e a regência supletiva pelas normas das sociedades por ações *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4"/>
          <w:szCs w:val="3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1.0344827586206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Conforme preconiza o artigo 1.053 do Código Civil, a sociedade limitada será em regra regida subsidiariamente pelas normas da sociedade simples, salvo nas situações em que o Contrato Social da referida sociedade explicitar que a legislação supletiva das omissões do contrato será a lei das sociedades anônimas (Lei n.° 6.404/76).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4"/>
          <w:szCs w:val="3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4"/>
          <w:szCs w:val="34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44"/>
          <w:szCs w:val="44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