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0e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0e000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fa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faf00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cc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ccc00"/>
          <w:sz w:val="26"/>
          <w:szCs w:val="26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2b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2b200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bc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bcb00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6f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6f600"/>
          <w:sz w:val="38"/>
          <w:szCs w:val="38"/>
          <w:u w:val="none"/>
          <w:shd w:fill="auto" w:val="clear"/>
          <w:vertAlign w:val="baseline"/>
          <w:rtl w:val="0"/>
        </w:rPr>
        <w:t xml:space="preserve">5.1. A integralização do capital social mediante a conferência e bens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dc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dcd00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6c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6c600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2"/>
          <w:szCs w:val="22"/>
          <w:u w:val="none"/>
          <w:shd w:fill="auto" w:val="clear"/>
          <w:vertAlign w:val="baseline"/>
          <w:rtl w:val="0"/>
        </w:rPr>
        <w:t xml:space="preserve">b) JOÃO possui 32.283 (trinta e dois mil, duzentos e oitenta e três) quotas, no valor nominal de R$ 32.283,00 (trinta e dois mil, duzentos e oitenta e três reais) totalmente integralizados; R$ 32.283,00 (trinta e dois mil, duzentos e oitenta e três reais) com sua quota parte do imóvel a seguir descrito, o qual será transferido para a sociedade com a expressa anuência de sua esposa, ja qualificada: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bd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bdb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bd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bdb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2"/>
          <w:szCs w:val="22"/>
          <w:u w:val="none"/>
          <w:shd w:fill="auto" w:val="clear"/>
          <w:vertAlign w:val="baseline"/>
          <w:rtl w:val="0"/>
        </w:rPr>
        <w:t xml:space="preserve">- O LOTE DE TERRAS RURAL n.°030, Gleba, Projeto Fundiário Alto Madeira, Cadastro 001. Área 2.022,2092 ha (dois mil e vinte e dois hectares, dois mil e noventa e dois milésimos), situado no município de Porto Velho/RO, Limitando-se: Ao norte, com terras de dominio da União e com o lote 029 A; A leste, com terras de dominio da União, separado pela faixa de dominio da BR-364 e com o lote 029; Ao sul, com terras de dominio da União, separado pela faixa de dominio da BR-364, lote 031 e com terras de domínio da União; A oeste, com o lote 031 e com terras de dominio da União. - Registro n.o 001 da matrícula n.°00 do livro no 2 do Registro Geral do Cartório do 2o Ofício de Registro Geral de Imóveis da Comarca de Porto Velho/RO - avaliado em R$ 64.566.00 (sessenta e quatro mil e quinhentos e sessenta e seis reais).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8a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8a8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8b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8b8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0c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0c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ac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aca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4c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4c4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4c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4c4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de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ded00"/>
          <w:sz w:val="38"/>
          <w:szCs w:val="38"/>
          <w:u w:val="none"/>
          <w:shd w:fill="auto" w:val="clear"/>
          <w:vertAlign w:val="baseline"/>
          <w:rtl w:val="0"/>
        </w:rPr>
        <w:t xml:space="preserve">5.1. A integralização do capital social mediante a conferência e bens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5b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5b5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0"/>
          <w:szCs w:val="30"/>
          <w:u w:val="none"/>
          <w:shd w:fill="auto" w:val="clear"/>
          <w:vertAlign w:val="baseline"/>
          <w:rtl w:val="0"/>
        </w:rPr>
        <w:t xml:space="preserve">5.1.1. A tributação incidente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7b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7b7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6b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6b6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4c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4c4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CF/88 Art. 156. Compete aos Municípios instituir impostos sobre: (...) || - transmissão "inter vivos", a qualquer título, por ato oneroso, de bens imóveis, por natureza ou acessão física, e de direitos reais sobre imóveis, exceto os de garantia, bem como cessão de direitos a sua aquisição;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4a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4a4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3c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3c3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ec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ece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99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999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8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§ 2o O imposto previsto no inciso ll: | - não incide sobre a transmissão de bens ou direitos incorporados ao patrimônio de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2414.4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lização de capital, nem sobre a transmissão de bens ou direitos decorrente de fusão, incorporação, cisão ou extinção de pessoa jurídica, salvo se, nesses casos, a atividade preponderante do adquirente for a compra e venda desses bens ou direitos, locação de bens imóveis ou arrendamento mercantil; 11 - compete ao Município da situação do bem.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da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dad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ec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ece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3d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3d3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8c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8c800"/>
          <w:sz w:val="38"/>
          <w:szCs w:val="38"/>
          <w:u w:val="none"/>
          <w:shd w:fill="auto" w:val="clear"/>
          <w:vertAlign w:val="baseline"/>
          <w:rtl w:val="0"/>
        </w:rPr>
        <w:t xml:space="preserve">I Jurídica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1b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1b1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