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b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b3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8"/>
          <w:szCs w:val="38"/>
          <w:u w:val="none"/>
          <w:shd w:fill="auto" w:val="clear"/>
          <w:vertAlign w:val="baseline"/>
          <w:rtl w:val="0"/>
        </w:rPr>
        <w:t xml:space="preserve">Fundos de Investimento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.43478260869565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Entretanto, em virtude de recente reforma legislativa, essa dinâmica foi alterada, e com ela esse "benefício”. E estrutura do Fundo frente ao patrimônio familiar se assemelha ao da holding, como exemplificado no organograma abaixo: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  <w:rtl w:val="0"/>
        </w:rPr>
        <w:t xml:space="preserve">Pai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Filho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Mãe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6.08695652173913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Fundo(s) de Investimento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Terreno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Investimentos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Ações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0f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0f000"/>
          <w:sz w:val="42"/>
          <w:szCs w:val="42"/>
          <w:u w:val="none"/>
          <w:shd w:fill="auto" w:val="clear"/>
          <w:vertAlign w:val="baseline"/>
          <w:rtl w:val="0"/>
        </w:rPr>
        <w:t xml:space="preserve">4.2.1. Capital Social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6.9565217391304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O capital social pode ser composto por bens ou direitos, observados os termos da legislação e as regras inerentes a cada tipo societário. O mais comum é que, no ato de constituição, o capital social seja composto pelo volume de recursos que os fundadores reuniram e conseguiram dedicar para o projeto. Nesse sentido, a redação da Cláusula do Contrato Social relativa ao capita social pode ser assim determinada: (vide item 5.1.)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2.60869565217391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Clausula X. O Capital Social é de R$ [0] ([•] reais), dividido em [•] ([•] mil) cotas no valor nominal de R$[•] ([•]) cada cota, totalmente integralizado em moeda corrente nacional, e assim distribuído entre os sócios: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SOCIOS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VALOR (R$)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QUOTAS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0.869565217391305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1o lo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To lo lo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6.086956521739133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To 10] 1.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TOTAL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lol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42"/>
          <w:szCs w:val="42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