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b9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b9b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ea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eae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18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42"/>
          <w:szCs w:val="42"/>
          <w:u w:val="none"/>
          <w:shd w:fill="auto" w:val="clear"/>
          <w:vertAlign w:val="baseline"/>
          <w:rtl w:val="0"/>
        </w:rPr>
        <w:t xml:space="preserve">4.1. Determinantes estratégias da escolha do tipo societário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0b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0b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Ltda.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2b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2b2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.35315985130111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Transferência de Quotas/Ações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33.8289962825279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0"/>
          <w:szCs w:val="20"/>
          <w:u w:val="none"/>
          <w:shd w:fill="auto" w:val="clear"/>
          <w:vertAlign w:val="baseline"/>
          <w:rtl w:val="0"/>
        </w:rPr>
        <w:t xml:space="preserve">• Respeito ao Contrato Social e Acordo de Sócios, se houver;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12.4163568773234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• Instrumento: Alteração Contratual que deverá ser registrada na Junta Comercial (maior burocracia e morosidade na transferência).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18"/>
          <w:szCs w:val="18"/>
          <w:u w:val="none"/>
          <w:shd w:fill="auto" w:val="clear"/>
          <w:vertAlign w:val="baseline"/>
          <w:rtl w:val="0"/>
        </w:rPr>
        <w:t xml:space="preserve">S.A. de capital fechado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• Respeito ao Direito de preferência;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17.7695167286245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  <w:rtl w:val="0"/>
        </w:rPr>
        <w:t xml:space="preserve">• Respeito ao Estatuto Social e ao Acordo de Acionistas, se houver;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9.8884758364312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• Instrumento: Livro de Transferência de Ações e livro de Registro de Ações (maior rapidez e facilidade na transferência).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9.8884758364312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• Os lucros devem ser distribuidos sempre proporcionalmente à participação societária de cada acionista.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Distribuição de Lucros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39.182156133829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• Possibilidade de distribuição de lucros de forma desigual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ea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eae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Constituição entre cônjuges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01.7100371747212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  <w:rtl w:val="0"/>
        </w:rPr>
        <w:t xml:space="preserve">• Vedada entre cônjuges casados no regime de comunhão universal de bns ou no de separação obrigatória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8"/>
          <w:szCs w:val="18"/>
          <w:u w:val="none"/>
          <w:shd w:fill="auto" w:val="clear"/>
          <w:vertAlign w:val="baseline"/>
          <w:rtl w:val="0"/>
        </w:rPr>
        <w:t xml:space="preserve">Sem restrição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38"/>
          <w:szCs w:val="38"/>
          <w:u w:val="none"/>
          <w:shd w:fill="auto" w:val="clear"/>
          <w:vertAlign w:val="baseline"/>
          <w:rtl w:val="0"/>
        </w:rPr>
        <w:t xml:space="preserve">* It do - Gode ter surely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3f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3f300"/>
          <w:sz w:val="42"/>
          <w:szCs w:val="42"/>
          <w:u w:val="none"/>
          <w:shd w:fill="auto" w:val="clear"/>
          <w:vertAlign w:val="baseline"/>
          <w:rtl w:val="0"/>
        </w:rPr>
        <w:t xml:space="preserve">|4.1. Determinantes estratégias da escolha do tipo societário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.35315985130111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0"/>
          <w:szCs w:val="30"/>
          <w:u w:val="none"/>
          <w:shd w:fill="auto" w:val="clear"/>
          <w:vertAlign w:val="baseline"/>
          <w:rtl w:val="0"/>
        </w:rPr>
        <w:t xml:space="preserve">4.1.4. EIRELI (natureza simples e empresária) Previsão legal: Código Civil (artigo 980-A)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4.1.5. Outras espécies de organizações jurídicas. Apontamentos gerais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Sociedades não personificadas: (i) SCP; e, (ii) sociedade em comum (irregulares).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2b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2b2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0"/>
          <w:szCs w:val="30"/>
          <w:u w:val="none"/>
          <w:shd w:fill="auto" w:val="clear"/>
          <w:vertAlign w:val="baseline"/>
          <w:rtl w:val="0"/>
        </w:rPr>
        <w:t xml:space="preserve">Fundos de Investimento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2.11895910780669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O fundo de investimento é uma comunhão de recursos, constituída sob a forma de condominio, destinado à aplicação em ativos financeiros, nos termos da legislação.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32"/>
          <w:szCs w:val="32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6.059479553903348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  <w:rtl w:val="0"/>
        </w:rPr>
        <w:t xml:space="preserve">No Brasil, os fundos de investimento se sujeitam as regras editadas pela Comissão de Valores Mobiliários, autarquia na qual os fundos devem ser registrados.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42"/>
          <w:szCs w:val="42"/>
          <w:u w:val="none"/>
          <w:shd w:fill="auto" w:val="clear"/>
          <w:vertAlign w:val="baseline"/>
          <w:rtl w:val="0"/>
        </w:rPr>
        <w:t xml:space="preserve">J Jurídica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