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4"/>
          <w:szCs w:val="44"/>
          <w:u w:val="none"/>
          <w:shd w:fill="auto" w:val="clear"/>
          <w:vertAlign w:val="baseline"/>
          <w:rtl w:val="0"/>
        </w:rPr>
        <w:t xml:space="preserve">3.2. Algumas espécies de holding e a sua classificação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3.2.2. Holding imobiliária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Holding imobiliária é a sociedade constituída para a gestão e exploração do patrimônio imobiliário da família.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Holding Imobiliária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Terreno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Sala Comercial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Apartamento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Pontos importantes: gatilhos fiscais (ITBle tributos sobre a renda)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4"/>
          <w:szCs w:val="44"/>
          <w:u w:val="none"/>
          <w:shd w:fill="auto" w:val="clear"/>
          <w:vertAlign w:val="baseline"/>
          <w:rtl w:val="0"/>
        </w:rPr>
        <w:t xml:space="preserve">3.2. Algumas espécies de holding e a sua classificação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63.0418250950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3.2.3. Holding patrimonial Esta espécie de sociedade serve para a gestão, controle e exploração dos demais bens e direitos da família ou, se for o caso, simplesmente para a gestão e organização daqueles bens que, no entendimento dos envolvidos, não serão objeto de exploração, mas unicamente de “segregação" ou proteção.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Pai Pai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Filho Filho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Mãe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Holding Patrimonial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Terreno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Investimentos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Ações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