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8.775510204081634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6"/>
          <w:szCs w:val="36"/>
          <w:u w:val="none"/>
          <w:shd w:fill="auto" w:val="clear"/>
          <w:vertAlign w:val="baseline"/>
          <w:rtl w:val="0"/>
        </w:rPr>
        <w:t xml:space="preserve">3. As estruturas societárias como instrumentos de organização patrimonial e sucessória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30"/>
          <w:szCs w:val="30"/>
          <w:u w:val="none"/>
          <w:shd w:fill="auto" w:val="clear"/>
          <w:vertAlign w:val="baseline"/>
          <w:rtl w:val="0"/>
        </w:rPr>
        <w:t xml:space="preserve">3.1.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30"/>
          <w:szCs w:val="30"/>
          <w:u w:val="none"/>
          <w:shd w:fill="auto" w:val="clear"/>
          <w:vertAlign w:val="baseline"/>
          <w:rtl w:val="0"/>
        </w:rPr>
        <w:t xml:space="preserve">Aspectos gerais e motivações fiscais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bb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Com a utilização de sociedades, é possível proteger o patrimônio, personalizar a sua gestão, gerar eficiência fiscal na sua exploração, planejar a sucessão, dentre outras vantagens.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4.0816326530612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O objetivo principal, portanto, pode ser resumido na separação, ou pelo menos afastamento, do patrimônio familiar do risco, com governança, eficiência fiscal e sucessória.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40"/>
          <w:szCs w:val="40"/>
          <w:u w:val="none"/>
          <w:shd w:fill="auto" w:val="clear"/>
          <w:vertAlign w:val="baseline"/>
          <w:rtl w:val="0"/>
        </w:rPr>
        <w:t xml:space="preserve">Quadro comparativo sobre a tributação da Pessoa Física e da Holding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Renda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Pessoa física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Holding Lucro presumido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Dividendo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0"/>
          <w:szCs w:val="20"/>
          <w:u w:val="none"/>
          <w:shd w:fill="auto" w:val="clear"/>
          <w:vertAlign w:val="baseline"/>
          <w:rtl w:val="0"/>
        </w:rPr>
        <w:t xml:space="preserve">Isento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0"/>
          <w:szCs w:val="20"/>
          <w:u w:val="none"/>
          <w:shd w:fill="auto" w:val="clear"/>
          <w:vertAlign w:val="baseline"/>
          <w:rtl w:val="0"/>
        </w:rPr>
        <w:t xml:space="preserve">Isento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Locação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Tabela progressiva Máximo: 27,5%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Base: 11,33% Máximo: 14,53%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Venda (estoque)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2"/>
          <w:szCs w:val="22"/>
          <w:u w:val="none"/>
          <w:shd w:fill="auto" w:val="clear"/>
          <w:vertAlign w:val="baseline"/>
          <w:rtl w:val="0"/>
        </w:rPr>
        <w:t xml:space="preserve">6,73%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a partir de 15% sobre o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ganho de capital (averiguar benefícios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fiscais)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Venda (imobilizado)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6"/>
          <w:szCs w:val="26"/>
          <w:u w:val="none"/>
          <w:shd w:fill="auto" w:val="clear"/>
          <w:vertAlign w:val="baseline"/>
          <w:rtl w:val="0"/>
        </w:rPr>
        <w:t xml:space="preserve">IRPJ e CSLL sobre ganho de capital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Máximo: 34%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Aplicação financeira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15% à 22% (depende do tipo de investimento)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34%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bcb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