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8f800"/>
          <w:sz w:val="36"/>
          <w:szCs w:val="36"/>
          <w:u w:val="none"/>
          <w:shd w:fill="auto" w:val="clear"/>
          <w:vertAlign w:val="baseline"/>
          <w:rtl w:val="0"/>
        </w:rPr>
        <w:t xml:space="preserve">Conteúdo Programático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8"/>
          <w:szCs w:val="28"/>
          <w:u w:val="none"/>
          <w:shd w:fill="auto" w:val="clear"/>
          <w:vertAlign w:val="baseline"/>
          <w:rtl w:val="0"/>
        </w:rPr>
        <w:t xml:space="preserve">5. A transferência dos bens para a Holding Familiar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6"/>
          <w:szCs w:val="26"/>
          <w:u w:val="none"/>
          <w:shd w:fill="auto" w:val="clear"/>
          <w:vertAlign w:val="baseline"/>
          <w:rtl w:val="0"/>
        </w:rPr>
        <w:t xml:space="preserve">5.1. A integralização do capital social mediante a conferência e bens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87.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5.1.1. A tributação incidente 5.2. Outras formas de transmissão de bens para a Holding Familiar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6. A transferência de quotas ou ações no âmbito da organização patrimonial e sucessória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Doação de quotas ou ações 6.2. Alienação de quotas ou ações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72.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Usufruto e nua-propriedade de participações societárias 6.4. Aspectos fiscais (ITCMD e IR)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9.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6.4.1. O entendimento da Fazenda e dos tribunais: exame de decisões administrativas e judiciais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82.39999999999998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WN 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Conteúdo Programático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9.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Os acordos parassociais no âmbito da Holding Familiar: espécies 7.1. Acordo de quotistas/acionistas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.799999999999997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7.1.2. Eleição dos integrantes dos órgãos sociais 7.1.3. Alienação de quotas ou ações 7.1.4. Direito de preferência, primeira oferta e primeira recusa 7.1.5. Tag along 7.1.6. Drag along 7.1.7. Solução de conflitos O protocolo ou pacto de família 7.2.1. Regras introdutórias, escopo e interpretação das suas condições 7.2.2. Os conselhos auxiliares 7.2.3. Family offices 7.2.4. Política de divisão de poder 7.2.5. O trabalhos dos integrantes da família na(s) empresa(s)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7.2.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I Jurídica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