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Parágrafo Terceiro: Qualquer Sócio poderá ser representado por procurador, sendo então considerado presente à Reunião, desde que este seja sócio ou advogado, e, se pessoa jurídica.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por seu representante legal ou procurador, ao qual será obrigatoriamente outorgado mandato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  <w:rtl w:val="0"/>
        </w:rPr>
        <w:t xml:space="preserve">com os poderes específicos para tal ato, que deverá ser arquivado juntamente com a ata.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perante a Junta Comercial.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Parágrafo Quarto: As convocações para as reuniões de sócios deverão ser feitas na forma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do caput ou do Parágrafo Primeiro, conforme o caso, mas poderão ser dispensadas se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estiverem presentes os Sócios representando a totalidade do Capital Social, sendo que para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4.4776119402985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que as reuniões possam se instalar, é necessária a presença de Sócios que representem a maioria votante do Capital Social.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1.492537313432834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Parágrafo Quinto: As reuniões dos sócios serão presididas e secretariadas pelo Diretor Presidente, que designará o secretário dos trabalhos, de sua livre escolha. Os Sócios terão a obrigação de respeitar e dar validade às deliberações tomadas em atenção ao Contrato Social e nos termos das vinculações previstas neste Acordo de Quotistas.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Parágrafo Sexto: Para a aprovação das seguintes matérias serão necessários os votos favoráveis de Sócios representando 85% (oitenta e cinco por cento) das quotas do capital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social: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a) modificação deste Contrato Social, inclusive aumento de capital social com subscrição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  <w:rtl w:val="0"/>
        </w:rPr>
        <w:t xml:space="preserve">em dinheiro, crédito ou bens, fusão, cisão da SOCIEDADE, alteração do objeto social,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incorporação de outra, ou dela por outra, ingresso em grupo de sociedades, ou dissolução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6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4"/>
          <w:szCs w:val="34"/>
          <w:u w:val="none"/>
          <w:shd w:fill="auto" w:val="clear"/>
          <w:vertAlign w:val="baseline"/>
          <w:rtl w:val="0"/>
        </w:rPr>
        <w:t xml:space="preserve">ou liquidação da SOCIEDADE: b) alienação ou oneração de bens de ativo permanente da SOCIEDADE, especialmente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as quotas de capital nas empresas de que participa SOCIEDADE;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c) aquisição, a qualquer título, de bens que não sejam relacionados com o objeto social: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contratação de consórcios de sociedades ou “joint ventures”;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constituição de obrigações, empréstimos, garantias acima de R$500.000,00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(quinhentos mil reais), reajustados, a partir da presente data, pela variação do IGP/M,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95.5223880597015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medido pela Fundação Getúlio Vargas; f) definição do voto da SOCIEDADE nas deliberações das sociedades das quais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participe, bem como das estratégias a serem adotadas nas mesmas; g) distribuição de lucros, juros sobre o capital próprio e dividendos;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18"/>
          <w:szCs w:val="18"/>
          <w:u w:val="none"/>
          <w:shd w:fill="auto" w:val="clear"/>
          <w:vertAlign w:val="baseline"/>
          <w:rtl w:val="0"/>
        </w:rPr>
        <w:t xml:space="preserve">SAS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1b1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1b100"/>
          <w:sz w:val="42"/>
          <w:szCs w:val="42"/>
          <w:u w:val="none"/>
          <w:shd w:fill="auto" w:val="clear"/>
          <w:vertAlign w:val="baseline"/>
          <w:rtl w:val="0"/>
        </w:rPr>
        <w:t xml:space="preserve">I Jurídica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18"/>
          <w:szCs w:val="18"/>
          <w:u w:val="none"/>
          <w:shd w:fill="auto" w:val="clear"/>
          <w:vertAlign w:val="baseline"/>
          <w:rtl w:val="0"/>
        </w:rPr>
        <w:t xml:space="preserve">3234282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