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71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3731343283582085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Os lucros líquidos obtidos em cada exercício social terão a aplicação que lhes for determinada pelos Sócios representando a totalidade do Capital Social, mediante deliberação em Reunião e respeitando os ajustes celebrados neste Acordo de Quotistas.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Parágrafo Primeiro:Na deliberação sobre a destinação do resultado do exercício, deverão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ser distribuídos aos Sócios, no mínimo. 25% do lucro líquido (após provisão para imposto de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renda e contribuição social sobre lucro líquido), podendo a Reunião de Sócios Quotistas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deliberar distribuição em percentual maior.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1.49253731343283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Parágrafo Segundo: Nenhum dos sócios terá direito a qualquer parcela dos lucros, até que seja adotada deliberação expressa sobre a sua aplicação.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DISPOSIÇÕES GERAIS E TRANSITÓRIAS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42"/>
          <w:szCs w:val="42"/>
          <w:u w:val="none"/>
          <w:shd w:fill="auto" w:val="clear"/>
          <w:vertAlign w:val="baseline"/>
          <w:rtl w:val="0"/>
        </w:rPr>
        <w:t xml:space="preserve">111111111111111999999999999999999771111111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CLÁUSULA DÉCIMA QUINTA: Os Sócios, por unanimidade, elegem os Administradores, pelo primeiro período de três anos, com mandato de_de de 201[•] a _de de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2010: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a) Diretor Presidente: JOÀO, anteriormente qualificado: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Diretor Superintendente: XXXXX, anteriormente qualificado: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c) Diretor Administrativo: yyyy, anteriormente qualificado: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2.23880597014925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Parágrafo Primeiro: Os Sócios, por unanimidade, se obrigam a reeleger os Administradores acima, nos cargos supra explicitados, por subsequentes mandatos de três (03) anos, enquanto vivo for o Sócio JOÃO e no gozo de suas capacidades mentais.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Parágrafo Segundo: Os Sócios, por unanimidade, elegem como Administrador Suplente 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Sr. (nome e qualificação).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Parágrafo Terceiro: Em caso de falecimento ou incapacidade de JOÃO, O Diretor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Superintendente assumirá as funções do Diretor Presidente, o Diretor Administrativo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assumirá as funções do Diretor Superintendente e o Administrador Suplente assumirá as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funções de Diretor Administrativo. Nessa hipótese, os Administradores supra referidos se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revesarão nos cargos, de modo que, no mandato subsequente, quem exercia o cargo de Diretor Superintendente será eleito Diretor Presidente; quem exercia o cargo de Diretor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42"/>
          <w:szCs w:val="42"/>
          <w:u w:val="none"/>
          <w:shd w:fill="auto" w:val="clear"/>
          <w:vertAlign w:val="baseline"/>
          <w:rtl w:val="0"/>
        </w:rPr>
        <w:t xml:space="preserve">1 Jurídica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ASSAS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