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B5" w:rsidRPr="00153179" w:rsidRDefault="00D923B5" w:rsidP="00D923B5">
      <w:pPr>
        <w:pStyle w:val="PargrafodaLista"/>
        <w:ind w:left="2421"/>
        <w:jc w:val="center"/>
        <w:rPr>
          <w:rFonts w:ascii="Bookman Old Style" w:eastAsia="Yu Gothic UI Light" w:hAnsi="Bookman Old Style"/>
          <w:b/>
          <w:sz w:val="28"/>
          <w:szCs w:val="28"/>
        </w:rPr>
      </w:pPr>
    </w:p>
    <w:p w:rsidR="00D923B5" w:rsidRPr="00724666" w:rsidRDefault="00D923B5" w:rsidP="00D923B5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Bookman Old Style" w:eastAsia="Yu Gothic UI Light" w:hAnsi="Bookman Old Style"/>
          <w:b/>
          <w:sz w:val="28"/>
          <w:szCs w:val="28"/>
        </w:rPr>
      </w:pPr>
      <w:r>
        <w:rPr>
          <w:rFonts w:ascii="Bookman Old Style" w:eastAsia="Yu Gothic UI Light" w:hAnsi="Bookman Old Style"/>
          <w:b/>
          <w:sz w:val="28"/>
          <w:szCs w:val="28"/>
        </w:rPr>
        <w:t>SANIBILIDADE DOS VÍCIOS DOS RECURSOS</w:t>
      </w:r>
    </w:p>
    <w:p w:rsidR="00D923B5" w:rsidRPr="00B87542" w:rsidRDefault="00D923B5" w:rsidP="00D923B5">
      <w:pPr>
        <w:jc w:val="both"/>
        <w:rPr>
          <w:rFonts w:ascii="Arial" w:hAnsi="Arial" w:cs="Arial"/>
          <w:sz w:val="18"/>
        </w:rPr>
      </w:pPr>
    </w:p>
    <w:p w:rsidR="00D923B5" w:rsidRDefault="00D923B5" w:rsidP="00D923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pacing w:val="2"/>
          <w:sz w:val="28"/>
          <w:szCs w:val="28"/>
        </w:rPr>
      </w:pPr>
      <w:r>
        <w:rPr>
          <w:rFonts w:ascii="Bookman Old Style" w:hAnsi="Bookman Old Style" w:cs="Arial"/>
          <w:spacing w:val="2"/>
          <w:sz w:val="28"/>
          <w:szCs w:val="28"/>
        </w:rPr>
        <w:t xml:space="preserve"> </w:t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 w:rsidRPr="00724666">
        <w:rPr>
          <w:rFonts w:ascii="Bookman Old Style" w:hAnsi="Bookman Old Style" w:cs="Arial"/>
          <w:spacing w:val="2"/>
          <w:sz w:val="28"/>
          <w:szCs w:val="28"/>
        </w:rPr>
        <w:t>O </w:t>
      </w:r>
      <w:hyperlink r:id="rId5" w:tooltip="LEI Nº 13.105, DE 16 DE MARÇO DE 2015." w:history="1">
        <w:r w:rsidRPr="00724666">
          <w:rPr>
            <w:rStyle w:val="Hyperlink"/>
            <w:rFonts w:ascii="Bookman Old Style" w:hAnsi="Bookman Old Style" w:cs="Arial"/>
            <w:spacing w:val="2"/>
            <w:sz w:val="28"/>
            <w:szCs w:val="28"/>
          </w:rPr>
          <w:t xml:space="preserve">Código de Processo Civil </w:t>
        </w:r>
      </w:hyperlink>
      <w:r w:rsidRPr="00724666">
        <w:rPr>
          <w:rFonts w:ascii="Bookman Old Style" w:hAnsi="Bookman Old Style" w:cs="Arial"/>
          <w:spacing w:val="2"/>
          <w:sz w:val="28"/>
          <w:szCs w:val="28"/>
        </w:rPr>
        <w:t>(Lei </w:t>
      </w:r>
      <w:hyperlink r:id="rId6" w:tooltip="LEI Nº 13.105, DE 16 DE MARÇO DE 2015." w:history="1">
        <w:r w:rsidRPr="00724666">
          <w:rPr>
            <w:rStyle w:val="Hyperlink"/>
            <w:rFonts w:ascii="Bookman Old Style" w:hAnsi="Bookman Old Style" w:cs="Arial"/>
            <w:spacing w:val="2"/>
            <w:sz w:val="28"/>
            <w:szCs w:val="28"/>
          </w:rPr>
          <w:t>13.105</w:t>
        </w:r>
      </w:hyperlink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/15) consagra uma regra geral de </w:t>
      </w:r>
      <w:proofErr w:type="spellStart"/>
      <w:r w:rsidRPr="00724666">
        <w:rPr>
          <w:rFonts w:ascii="Bookman Old Style" w:hAnsi="Bookman Old Style" w:cs="Arial"/>
          <w:spacing w:val="2"/>
          <w:sz w:val="28"/>
          <w:szCs w:val="28"/>
        </w:rPr>
        <w:t>sanabilidade</w:t>
      </w:r>
      <w:proofErr w:type="spellEnd"/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 dos vícios dos recursos, disciplinando que o relator </w:t>
      </w:r>
      <w:r w:rsidRPr="00724666">
        <w:rPr>
          <w:rFonts w:ascii="Bookman Old Style" w:hAnsi="Bookman Old Style" w:cs="Arial"/>
          <w:i/>
          <w:iCs/>
          <w:spacing w:val="2"/>
          <w:sz w:val="28"/>
          <w:szCs w:val="28"/>
        </w:rPr>
        <w:t>deverá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> conceder prazo de cinco dias para que a parte regularize a falha ou complemente a documentação exigida, antes de decidir pela inadmissibilidade (art. 932</w:t>
      </w:r>
      <w:r>
        <w:rPr>
          <w:rFonts w:ascii="Bookman Old Style" w:hAnsi="Bookman Old Style" w:cs="Arial"/>
          <w:spacing w:val="2"/>
          <w:sz w:val="28"/>
          <w:szCs w:val="28"/>
        </w:rPr>
        <w:t xml:space="preserve"> do CPC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, parágrafo único). </w:t>
      </w:r>
    </w:p>
    <w:p w:rsidR="00D923B5" w:rsidRDefault="00D923B5" w:rsidP="00D923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pacing w:val="2"/>
          <w:sz w:val="28"/>
          <w:szCs w:val="28"/>
        </w:rPr>
      </w:pPr>
    </w:p>
    <w:p w:rsidR="00D923B5" w:rsidRDefault="00D923B5" w:rsidP="00D923B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 w:cs="Arial"/>
          <w:spacing w:val="2"/>
          <w:sz w:val="28"/>
          <w:szCs w:val="28"/>
        </w:rPr>
      </w:pPr>
      <w:r>
        <w:rPr>
          <w:rFonts w:ascii="Bookman Old Style" w:hAnsi="Bookman Old Style" w:cs="Arial"/>
          <w:spacing w:val="2"/>
          <w:sz w:val="28"/>
          <w:szCs w:val="28"/>
        </w:rPr>
        <w:t xml:space="preserve"> </w:t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 w:rsidRPr="00724666">
        <w:rPr>
          <w:rFonts w:ascii="Bookman Old Style" w:hAnsi="Bookman Old Style" w:cs="Arial"/>
          <w:spacing w:val="2"/>
          <w:sz w:val="28"/>
          <w:szCs w:val="28"/>
        </w:rPr>
        <w:t>A regra encontra sustentação na primazia da resolução de mérito (</w:t>
      </w:r>
      <w:proofErr w:type="spellStart"/>
      <w:r w:rsidRPr="00724666">
        <w:rPr>
          <w:rFonts w:ascii="Bookman Old Style" w:hAnsi="Bookman Old Style" w:cs="Arial"/>
          <w:spacing w:val="2"/>
          <w:sz w:val="28"/>
          <w:szCs w:val="28"/>
        </w:rPr>
        <w:t>arts</w:t>
      </w:r>
      <w:proofErr w:type="spellEnd"/>
      <w:r w:rsidRPr="00724666">
        <w:rPr>
          <w:rFonts w:ascii="Bookman Old Style" w:hAnsi="Bookman Old Style" w:cs="Arial"/>
          <w:spacing w:val="2"/>
          <w:sz w:val="28"/>
          <w:szCs w:val="28"/>
        </w:rPr>
        <w:t>. 4º, 6º, 139, IX, 282, § 2º, 318, 352, 488, 1.013, §§ 3º e 4º), no dever de cooperação (art. 6º, que se aplica ao julgador) e na vedação de decisão surpresa (art. 10), e vem sendo referida como um dever de prevenção ou auxílio do Poder Judiciário.</w:t>
      </w:r>
    </w:p>
    <w:p w:rsidR="00D923B5" w:rsidRPr="00724666" w:rsidRDefault="00D923B5" w:rsidP="00D923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pacing w:val="2"/>
          <w:sz w:val="28"/>
          <w:szCs w:val="28"/>
        </w:rPr>
      </w:pPr>
    </w:p>
    <w:p w:rsidR="00D923B5" w:rsidRPr="00724666" w:rsidRDefault="00D923B5" w:rsidP="00D923B5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Bookman Old Style" w:hAnsi="Bookman Old Style" w:cs="Arial"/>
          <w:spacing w:val="2"/>
          <w:sz w:val="28"/>
          <w:szCs w:val="28"/>
        </w:rPr>
      </w:pPr>
      <w:r>
        <w:rPr>
          <w:rFonts w:ascii="Bookman Old Style" w:hAnsi="Bookman Old Style" w:cs="Arial"/>
          <w:spacing w:val="2"/>
          <w:sz w:val="28"/>
          <w:szCs w:val="28"/>
        </w:rPr>
        <w:t xml:space="preserve"> </w:t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  <w:t xml:space="preserve">Sendo que 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>a regra de correção dos vícios, é essencial para conferir segurança e previsibilidade aos litigantes, evitando-se excessivo casuísmo e subjetivismo no filtro de admissibilidade dos recursos.</w:t>
      </w:r>
    </w:p>
    <w:p w:rsidR="00D923B5" w:rsidRDefault="00D923B5" w:rsidP="00D923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pacing w:val="2"/>
          <w:sz w:val="28"/>
          <w:szCs w:val="28"/>
        </w:rPr>
      </w:pPr>
      <w:r>
        <w:rPr>
          <w:rFonts w:ascii="Bookman Old Style" w:hAnsi="Bookman Old Style" w:cs="Arial"/>
          <w:spacing w:val="2"/>
          <w:sz w:val="28"/>
          <w:szCs w:val="28"/>
        </w:rPr>
        <w:t xml:space="preserve"> </w:t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  <w:t xml:space="preserve">Mesmo nos 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>recurso</w:t>
      </w:r>
      <w:r>
        <w:rPr>
          <w:rFonts w:ascii="Bookman Old Style" w:hAnsi="Bookman Old Style" w:cs="Arial"/>
          <w:spacing w:val="2"/>
          <w:sz w:val="28"/>
          <w:szCs w:val="28"/>
        </w:rPr>
        <w:t>s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> </w:t>
      </w:r>
      <w:r w:rsidRPr="00724666">
        <w:rPr>
          <w:rFonts w:ascii="Bookman Old Style" w:hAnsi="Bookman Old Style" w:cs="Arial"/>
          <w:i/>
          <w:iCs/>
          <w:spacing w:val="2"/>
          <w:sz w:val="28"/>
          <w:szCs w:val="28"/>
        </w:rPr>
        <w:t>intempestivo</w:t>
      </w:r>
      <w:r>
        <w:rPr>
          <w:rFonts w:ascii="Bookman Old Style" w:hAnsi="Bookman Old Style" w:cs="Arial"/>
          <w:i/>
          <w:iCs/>
          <w:spacing w:val="2"/>
          <w:sz w:val="28"/>
          <w:szCs w:val="28"/>
        </w:rPr>
        <w:t>s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 é possível corrigir falhas quanto à comprovação da tempestividade, como, por exemplo, demonstrando a</w:t>
      </w:r>
      <w:r>
        <w:rPr>
          <w:rFonts w:ascii="Bookman Old Style" w:hAnsi="Bookman Old Style" w:cs="Arial"/>
          <w:spacing w:val="2"/>
          <w:sz w:val="28"/>
          <w:szCs w:val="28"/>
        </w:rPr>
        <w:t xml:space="preserve"> existência de feriado local, ou como no caso dos autos demonstrando que o requerente não foi notificado corretamente.</w:t>
      </w:r>
    </w:p>
    <w:p w:rsidR="00D923B5" w:rsidRDefault="00D923B5" w:rsidP="00D923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pacing w:val="2"/>
          <w:sz w:val="28"/>
          <w:szCs w:val="28"/>
        </w:rPr>
      </w:pPr>
    </w:p>
    <w:p w:rsidR="00D923B5" w:rsidRDefault="00D923B5" w:rsidP="00D923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pacing w:val="2"/>
          <w:sz w:val="28"/>
          <w:szCs w:val="28"/>
        </w:rPr>
      </w:pPr>
      <w:r>
        <w:rPr>
          <w:rFonts w:ascii="Bookman Old Style" w:hAnsi="Bookman Old Style" w:cs="Arial"/>
          <w:spacing w:val="2"/>
          <w:sz w:val="28"/>
          <w:szCs w:val="28"/>
        </w:rPr>
        <w:t xml:space="preserve"> </w:t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  <w:t>Assim, a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 regra </w:t>
      </w:r>
      <w:r w:rsidRPr="00724666">
        <w:rPr>
          <w:rFonts w:ascii="Bookman Old Style" w:hAnsi="Bookman Old Style" w:cs="Arial"/>
          <w:i/>
          <w:iCs/>
          <w:spacing w:val="2"/>
          <w:sz w:val="28"/>
          <w:szCs w:val="28"/>
        </w:rPr>
        <w:t>geral 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de </w:t>
      </w:r>
      <w:proofErr w:type="spellStart"/>
      <w:r w:rsidRPr="00724666">
        <w:rPr>
          <w:rFonts w:ascii="Bookman Old Style" w:hAnsi="Bookman Old Style" w:cs="Arial"/>
          <w:spacing w:val="2"/>
          <w:sz w:val="28"/>
          <w:szCs w:val="28"/>
        </w:rPr>
        <w:t>sanabilidade</w:t>
      </w:r>
      <w:proofErr w:type="spellEnd"/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 determina o </w:t>
      </w:r>
      <w:r w:rsidRPr="00724666">
        <w:rPr>
          <w:rFonts w:ascii="Bookman Old Style" w:hAnsi="Bookman Old Style" w:cs="Arial"/>
          <w:i/>
          <w:iCs/>
          <w:spacing w:val="2"/>
          <w:sz w:val="28"/>
          <w:szCs w:val="28"/>
        </w:rPr>
        <w:t>dever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 de oportunizar a correção, o que está apoiado em normas fundamentais do processo, como já destacado. </w:t>
      </w:r>
    </w:p>
    <w:p w:rsidR="00D923B5" w:rsidRDefault="00D923B5" w:rsidP="00D923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pacing w:val="2"/>
          <w:sz w:val="28"/>
          <w:szCs w:val="28"/>
        </w:rPr>
      </w:pPr>
    </w:p>
    <w:p w:rsidR="00D923B5" w:rsidRDefault="00D923B5" w:rsidP="00D923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pacing w:val="2"/>
          <w:sz w:val="28"/>
          <w:szCs w:val="28"/>
        </w:rPr>
      </w:pPr>
      <w:r>
        <w:rPr>
          <w:rFonts w:ascii="Bookman Old Style" w:hAnsi="Bookman Old Style" w:cs="Arial"/>
          <w:spacing w:val="2"/>
          <w:sz w:val="28"/>
          <w:szCs w:val="28"/>
        </w:rPr>
        <w:t xml:space="preserve"> </w:t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Quanto ao critério temporal para a </w:t>
      </w:r>
      <w:proofErr w:type="spellStart"/>
      <w:r w:rsidRPr="00724666">
        <w:rPr>
          <w:rFonts w:ascii="Bookman Old Style" w:hAnsi="Bookman Old Style" w:cs="Arial"/>
          <w:spacing w:val="2"/>
          <w:sz w:val="28"/>
          <w:szCs w:val="28"/>
        </w:rPr>
        <w:t>sanabilidade</w:t>
      </w:r>
      <w:proofErr w:type="spellEnd"/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 dos vícios, nada obsta que a </w:t>
      </w:r>
      <w:proofErr w:type="spellStart"/>
      <w:r w:rsidRPr="00724666">
        <w:rPr>
          <w:rFonts w:ascii="Bookman Old Style" w:hAnsi="Bookman Old Style" w:cs="Arial"/>
          <w:spacing w:val="2"/>
          <w:sz w:val="28"/>
          <w:szCs w:val="28"/>
        </w:rPr>
        <w:t>oportunização</w:t>
      </w:r>
      <w:proofErr w:type="spellEnd"/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 para corrigir a falha ocorra após a apresentação de contrarrazões pelo recorrido, o que se coaduna com o</w:t>
      </w:r>
      <w:r w:rsidRPr="00A8359D">
        <w:rPr>
          <w:rFonts w:ascii="Bookman Old Style" w:hAnsi="Bookman Old Style" w:cs="Arial"/>
          <w:spacing w:val="2"/>
          <w:sz w:val="28"/>
          <w:szCs w:val="28"/>
        </w:rPr>
        <w:t xml:space="preserve"> art. </w:t>
      </w:r>
      <w:hyperlink r:id="rId7" w:tooltip="Artigo 317 da Lei nº 13.105 de 16 de Março de 2015" w:history="1">
        <w:r w:rsidRPr="00A8359D">
          <w:rPr>
            <w:rStyle w:val="Hyperlink"/>
            <w:rFonts w:ascii="Bookman Old Style" w:hAnsi="Bookman Old Style" w:cs="Arial"/>
            <w:spacing w:val="2"/>
            <w:sz w:val="28"/>
            <w:szCs w:val="28"/>
          </w:rPr>
          <w:t>317</w:t>
        </w:r>
      </w:hyperlink>
      <w:r w:rsidRPr="00A8359D">
        <w:rPr>
          <w:rFonts w:ascii="Bookman Old Style" w:hAnsi="Bookman Old Style" w:cs="Arial"/>
          <w:spacing w:val="2"/>
          <w:sz w:val="28"/>
          <w:szCs w:val="28"/>
        </w:rPr>
        <w:t> do </w:t>
      </w:r>
      <w:hyperlink r:id="rId8" w:tooltip="LEI Nº 13.105, DE 16 DE MARÇO DE 2015." w:history="1">
        <w:r w:rsidRPr="00A8359D">
          <w:rPr>
            <w:rStyle w:val="Hyperlink"/>
            <w:rFonts w:ascii="Bookman Old Style" w:hAnsi="Bookman Old Style" w:cs="Arial"/>
            <w:spacing w:val="2"/>
            <w:sz w:val="28"/>
            <w:szCs w:val="28"/>
          </w:rPr>
          <w:t>CPC/2015</w:t>
        </w:r>
      </w:hyperlink>
      <w:r w:rsidRPr="00A8359D">
        <w:rPr>
          <w:rFonts w:ascii="Bookman Old Style" w:hAnsi="Bookman Old Style" w:cs="Arial"/>
          <w:spacing w:val="2"/>
          <w:sz w:val="28"/>
          <w:szCs w:val="28"/>
        </w:rPr>
        <w:t xml:space="preserve">. A rigor, até 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depois de iniciado o julgamento pode ser oportunizada a correção da falha, 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lastRenderedPageBreak/>
        <w:t>inclusive </w:t>
      </w:r>
      <w:r w:rsidRPr="00724666">
        <w:rPr>
          <w:rFonts w:ascii="Bookman Old Style" w:hAnsi="Bookman Old Style" w:cs="Arial"/>
          <w:i/>
          <w:iCs/>
          <w:spacing w:val="2"/>
          <w:sz w:val="28"/>
          <w:szCs w:val="28"/>
        </w:rPr>
        <w:t>pelo órgão colegiado, 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>para permitir que haja análise do mérito recursal.</w:t>
      </w:r>
    </w:p>
    <w:p w:rsidR="00D923B5" w:rsidRDefault="00D923B5" w:rsidP="00D923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pacing w:val="2"/>
          <w:sz w:val="28"/>
          <w:szCs w:val="28"/>
        </w:rPr>
      </w:pPr>
    </w:p>
    <w:p w:rsidR="00D923B5" w:rsidRPr="00724666" w:rsidRDefault="00D923B5" w:rsidP="00D923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pacing w:val="2"/>
          <w:sz w:val="28"/>
          <w:szCs w:val="28"/>
        </w:rPr>
      </w:pPr>
      <w:r>
        <w:rPr>
          <w:rFonts w:ascii="Bookman Old Style" w:hAnsi="Bookman Old Style" w:cs="Arial"/>
          <w:spacing w:val="2"/>
          <w:sz w:val="28"/>
          <w:szCs w:val="28"/>
        </w:rPr>
        <w:t xml:space="preserve"> </w:t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>
        <w:rPr>
          <w:rFonts w:ascii="Bookman Old Style" w:hAnsi="Bookman Old Style" w:cs="Arial"/>
          <w:spacing w:val="2"/>
          <w:sz w:val="28"/>
          <w:szCs w:val="28"/>
        </w:rPr>
        <w:tab/>
      </w:r>
      <w:r w:rsidRPr="00724666">
        <w:rPr>
          <w:rFonts w:ascii="Bookman Old Style" w:hAnsi="Bookman Old Style" w:cs="Arial"/>
          <w:spacing w:val="2"/>
          <w:sz w:val="28"/>
          <w:szCs w:val="28"/>
        </w:rPr>
        <w:t>Por fim, há o dever de oportunizar a prévia oitiva da parte mesmo que o vício seja insanável, antes do não conhecimento do recurso. A oportunidade de </w:t>
      </w:r>
      <w:r w:rsidRPr="00724666">
        <w:rPr>
          <w:rFonts w:ascii="Bookman Old Style" w:hAnsi="Bookman Old Style" w:cs="Arial"/>
          <w:i/>
          <w:iCs/>
          <w:spacing w:val="2"/>
          <w:sz w:val="28"/>
          <w:szCs w:val="28"/>
        </w:rPr>
        <w:t>manifestação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> (e não de correção do vício) impõe-se diante da vedação de decisão surpresa (art. 10</w:t>
      </w:r>
      <w:r>
        <w:rPr>
          <w:rFonts w:ascii="Bookman Old Style" w:hAnsi="Bookman Old Style" w:cs="Arial"/>
          <w:spacing w:val="2"/>
          <w:sz w:val="28"/>
          <w:szCs w:val="28"/>
        </w:rPr>
        <w:t xml:space="preserve"> do CPC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>),</w:t>
      </w:r>
      <w:r>
        <w:rPr>
          <w:rFonts w:ascii="Bookman Old Style" w:hAnsi="Bookman Old Style" w:cs="Arial"/>
          <w:spacing w:val="2"/>
          <w:sz w:val="28"/>
          <w:szCs w:val="28"/>
        </w:rPr>
        <w:t xml:space="preserve"> </w:t>
      </w:r>
      <w:r w:rsidRPr="00724666">
        <w:rPr>
          <w:rFonts w:ascii="Bookman Old Style" w:hAnsi="Bookman Old Style" w:cs="Arial"/>
          <w:spacing w:val="2"/>
          <w:sz w:val="28"/>
          <w:szCs w:val="28"/>
        </w:rPr>
        <w:t xml:space="preserve">já que a parte pode justificar a inexistência da (aparente) falha insanável, possibilitando-se a apreciação do mérito do recurso, que é, a rigor, o escopo da regra da </w:t>
      </w:r>
      <w:proofErr w:type="spellStart"/>
      <w:r w:rsidRPr="00724666">
        <w:rPr>
          <w:rFonts w:ascii="Bookman Old Style" w:hAnsi="Bookman Old Style" w:cs="Arial"/>
          <w:spacing w:val="2"/>
          <w:sz w:val="28"/>
          <w:szCs w:val="28"/>
        </w:rPr>
        <w:t>sanabilidade</w:t>
      </w:r>
      <w:proofErr w:type="spellEnd"/>
      <w:r w:rsidRPr="00724666">
        <w:rPr>
          <w:rFonts w:ascii="Bookman Old Style" w:hAnsi="Bookman Old Style" w:cs="Arial"/>
          <w:spacing w:val="2"/>
          <w:sz w:val="28"/>
          <w:szCs w:val="28"/>
        </w:rPr>
        <w:t>.</w:t>
      </w:r>
    </w:p>
    <w:p w:rsidR="00D923B5" w:rsidRDefault="00D923B5" w:rsidP="00D923B5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sz w:val="28"/>
          <w:szCs w:val="28"/>
          <w:lang w:eastAsia="pt-BR"/>
        </w:rPr>
      </w:pPr>
    </w:p>
    <w:p w:rsidR="00D05B81" w:rsidRDefault="00D05B81">
      <w:bookmarkStart w:id="0" w:name="_GoBack"/>
      <w:bookmarkEnd w:id="0"/>
    </w:p>
    <w:sectPr w:rsidR="00D05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50FD1"/>
    <w:multiLevelType w:val="hybridMultilevel"/>
    <w:tmpl w:val="6B482F76"/>
    <w:lvl w:ilvl="0" w:tplc="29E23F86">
      <w:start w:val="6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B5"/>
    <w:rsid w:val="00D05B81"/>
    <w:rsid w:val="00D9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6C4F0-B3D0-4E45-9958-8D21F848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3B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23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92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74276278/lei-13105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28893829/artigo-317-da-lei-n-13105-de-16-de-marco-de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www.jusbrasil.com.br/legislacao/174276278/lei-13105-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2020-11-10T15:16:00Z</dcterms:created>
  <dcterms:modified xsi:type="dcterms:W3CDTF">2020-11-10T15:16:00Z</dcterms:modified>
</cp:coreProperties>
</file>